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仿宋" w:eastAsia="黑体" w:cs="Times New Roman"/>
          <w:sz w:val="32"/>
          <w:szCs w:val="32"/>
        </w:rPr>
      </w:pPr>
      <w:bookmarkStart w:id="0" w:name="_GoBack"/>
      <w:bookmarkEnd w:id="0"/>
      <w:r>
        <w:rPr>
          <w:rFonts w:hint="eastAsia" w:ascii="黑体" w:hAnsi="仿宋" w:eastAsia="黑体" w:cs="Times New Roman"/>
          <w:sz w:val="32"/>
          <w:szCs w:val="32"/>
        </w:rPr>
        <w:t>附件4</w:t>
      </w:r>
    </w:p>
    <w:p>
      <w:pPr>
        <w:spacing w:line="600" w:lineRule="exact"/>
        <w:jc w:val="center"/>
        <w:rPr>
          <w:rFonts w:ascii="方正小标宋_GBK" w:hAnsi="黑体" w:eastAsia="方正小标宋_GBK" w:cs="Times New Roman"/>
          <w:sz w:val="44"/>
          <w:szCs w:val="44"/>
        </w:rPr>
      </w:pPr>
      <w:r>
        <w:rPr>
          <w:rFonts w:hint="eastAsia" w:ascii="方正小标宋_GBK" w:hAnsi="黑体" w:eastAsia="方正小标宋_GBK" w:cs="Times New Roman"/>
          <w:sz w:val="44"/>
          <w:szCs w:val="44"/>
        </w:rPr>
        <w:t>宁夏回族自治区地方标准征求意见汇总处理表</w:t>
      </w:r>
    </w:p>
    <w:p>
      <w:pPr>
        <w:spacing w:line="600" w:lineRule="exact"/>
        <w:jc w:val="center"/>
        <w:rPr>
          <w:rFonts w:ascii="方正小标宋_GBK" w:hAnsi="黑体" w:eastAsia="方正小标宋_GBK" w:cs="Times New Roman"/>
          <w:sz w:val="44"/>
          <w:szCs w:val="44"/>
        </w:rPr>
      </w:pPr>
    </w:p>
    <w:tbl>
      <w:tblPr>
        <w:tblStyle w:val="5"/>
        <w:tblW w:w="142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3093"/>
        <w:gridCol w:w="3827"/>
        <w:gridCol w:w="1418"/>
        <w:gridCol w:w="5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vAlign w:val="center"/>
          </w:tcPr>
          <w:p>
            <w:pPr>
              <w:snapToGrid w:val="0"/>
              <w:jc w:val="center"/>
              <w:rPr>
                <w:rFonts w:ascii="黑体" w:hAnsi="宋体" w:eastAsia="黑体" w:cs="Times New Roman"/>
                <w:sz w:val="28"/>
                <w:szCs w:val="28"/>
              </w:rPr>
            </w:pPr>
            <w:r>
              <w:rPr>
                <w:rFonts w:hint="eastAsia" w:ascii="黑体" w:hAnsi="宋体" w:eastAsia="黑体" w:cs="Times New Roman"/>
                <w:sz w:val="28"/>
                <w:szCs w:val="28"/>
              </w:rPr>
              <w:t>序号</w:t>
            </w:r>
          </w:p>
        </w:tc>
        <w:tc>
          <w:tcPr>
            <w:tcW w:w="3093" w:type="dxa"/>
            <w:vAlign w:val="center"/>
          </w:tcPr>
          <w:p>
            <w:pPr>
              <w:snapToGrid w:val="0"/>
              <w:jc w:val="center"/>
              <w:rPr>
                <w:rFonts w:ascii="黑体" w:hAnsi="宋体" w:eastAsia="黑体" w:cs="Times New Roman"/>
                <w:sz w:val="28"/>
                <w:szCs w:val="28"/>
              </w:rPr>
            </w:pPr>
            <w:r>
              <w:rPr>
                <w:rFonts w:hint="eastAsia" w:ascii="黑体" w:hAnsi="宋体" w:eastAsia="黑体" w:cs="Times New Roman"/>
                <w:sz w:val="28"/>
                <w:szCs w:val="28"/>
              </w:rPr>
              <w:t>意见章条及原标准内容</w:t>
            </w:r>
          </w:p>
        </w:tc>
        <w:tc>
          <w:tcPr>
            <w:tcW w:w="3827" w:type="dxa"/>
            <w:vAlign w:val="center"/>
          </w:tcPr>
          <w:p>
            <w:pPr>
              <w:snapToGrid w:val="0"/>
              <w:jc w:val="center"/>
              <w:rPr>
                <w:rFonts w:ascii="黑体" w:hAnsi="宋体" w:eastAsia="黑体" w:cs="Times New Roman"/>
                <w:sz w:val="28"/>
                <w:szCs w:val="28"/>
              </w:rPr>
            </w:pPr>
            <w:r>
              <w:rPr>
                <w:rFonts w:hint="eastAsia" w:ascii="黑体" w:hAnsi="宋体" w:eastAsia="黑体" w:cs="Times New Roman"/>
                <w:sz w:val="28"/>
                <w:szCs w:val="28"/>
              </w:rPr>
              <w:t>修改意见及依据</w:t>
            </w:r>
          </w:p>
        </w:tc>
        <w:tc>
          <w:tcPr>
            <w:tcW w:w="1418" w:type="dxa"/>
            <w:vAlign w:val="center"/>
          </w:tcPr>
          <w:p>
            <w:pPr>
              <w:snapToGrid w:val="0"/>
              <w:jc w:val="center"/>
              <w:rPr>
                <w:rFonts w:ascii="黑体" w:hAnsi="宋体" w:eastAsia="黑体" w:cs="Times New Roman"/>
                <w:sz w:val="28"/>
                <w:szCs w:val="28"/>
              </w:rPr>
            </w:pPr>
            <w:r>
              <w:rPr>
                <w:rFonts w:hint="eastAsia" w:ascii="黑体" w:hAnsi="宋体" w:eastAsia="黑体" w:cs="Times New Roman"/>
                <w:sz w:val="28"/>
                <w:szCs w:val="28"/>
              </w:rPr>
              <w:t>提出单位</w:t>
            </w:r>
          </w:p>
        </w:tc>
        <w:tc>
          <w:tcPr>
            <w:tcW w:w="5298" w:type="dxa"/>
            <w:vAlign w:val="center"/>
          </w:tcPr>
          <w:p>
            <w:pPr>
              <w:snapToGrid w:val="0"/>
              <w:jc w:val="center"/>
              <w:rPr>
                <w:rFonts w:ascii="黑体" w:hAnsi="宋体" w:eastAsia="黑体" w:cs="Times New Roman"/>
                <w:sz w:val="28"/>
                <w:szCs w:val="28"/>
              </w:rPr>
            </w:pPr>
            <w:r>
              <w:rPr>
                <w:rFonts w:hint="eastAsia" w:ascii="黑体" w:hAnsi="宋体" w:eastAsia="黑体" w:cs="Times New Roman"/>
                <w:sz w:val="28"/>
                <w:szCs w:val="28"/>
              </w:rPr>
              <w:t>意见处理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1</w:t>
            </w:r>
          </w:p>
        </w:tc>
        <w:tc>
          <w:tcPr>
            <w:tcW w:w="3093" w:type="dxa"/>
            <w:vAlign w:val="center"/>
          </w:tcPr>
          <w:p>
            <w:pPr>
              <w:rPr>
                <w:rFonts w:ascii="宋体" w:hAnsi="宋体" w:eastAsia="仿宋_GB2312" w:cs="Times New Roman"/>
                <w:sz w:val="28"/>
                <w:szCs w:val="28"/>
              </w:rPr>
            </w:pPr>
            <w:r>
              <w:rPr>
                <w:rFonts w:hint="eastAsia" w:ascii="宋体" w:hAnsi="宋体" w:eastAsia="仿宋_GB2312" w:cs="Times New Roman"/>
                <w:sz w:val="28"/>
                <w:szCs w:val="28"/>
              </w:rPr>
              <w:t>标准第</w:t>
            </w:r>
            <w:r>
              <w:rPr>
                <w:rFonts w:ascii="宋体" w:hAnsi="宋体" w:eastAsia="仿宋_GB2312" w:cs="Times New Roman"/>
                <w:sz w:val="28"/>
                <w:szCs w:val="28"/>
              </w:rPr>
              <w:t>6</w:t>
            </w:r>
            <w:r>
              <w:rPr>
                <w:rFonts w:hint="eastAsia" w:ascii="宋体" w:hAnsi="宋体" w:eastAsia="仿宋_GB2312" w:cs="Times New Roman"/>
                <w:sz w:val="28"/>
                <w:szCs w:val="28"/>
              </w:rPr>
              <w:t>.</w:t>
            </w:r>
            <w:r>
              <w:rPr>
                <w:rFonts w:ascii="宋体" w:hAnsi="宋体" w:eastAsia="仿宋_GB2312" w:cs="Times New Roman"/>
                <w:sz w:val="28"/>
                <w:szCs w:val="28"/>
              </w:rPr>
              <w:t>3</w:t>
            </w:r>
            <w:r>
              <w:rPr>
                <w:rFonts w:hint="eastAsia" w:ascii="宋体" w:hAnsi="宋体" w:eastAsia="仿宋_GB2312" w:cs="Times New Roman"/>
                <w:sz w:val="28"/>
                <w:szCs w:val="28"/>
              </w:rPr>
              <w:t>.</w:t>
            </w:r>
            <w:r>
              <w:rPr>
                <w:rFonts w:ascii="宋体" w:hAnsi="宋体" w:eastAsia="仿宋_GB2312" w:cs="Times New Roman"/>
                <w:sz w:val="28"/>
                <w:szCs w:val="28"/>
              </w:rPr>
              <w:t>4</w:t>
            </w:r>
            <w:r>
              <w:rPr>
                <w:rFonts w:hint="eastAsia" w:ascii="宋体" w:hAnsi="宋体" w:eastAsia="仿宋_GB2312" w:cs="Times New Roman"/>
                <w:sz w:val="28"/>
                <w:szCs w:val="28"/>
              </w:rPr>
              <w:t>条，内容为：倒罐（打循环）</w:t>
            </w:r>
          </w:p>
        </w:tc>
        <w:tc>
          <w:tcPr>
            <w:tcW w:w="3827" w:type="dxa"/>
            <w:vAlign w:val="center"/>
          </w:tcPr>
          <w:p>
            <w:pPr>
              <w:rPr>
                <w:rFonts w:ascii="宋体" w:hAnsi="宋体" w:eastAsia="仿宋_GB2312" w:cs="Times New Roman"/>
                <w:sz w:val="28"/>
                <w:szCs w:val="28"/>
              </w:rPr>
            </w:pPr>
            <w:r>
              <w:rPr>
                <w:rFonts w:hint="eastAsia" w:ascii="宋体" w:hAnsi="宋体" w:eastAsia="仿宋_GB2312" w:cs="Times New Roman"/>
                <w:sz w:val="28"/>
                <w:szCs w:val="28"/>
              </w:rPr>
              <w:t>“打循环”即可</w:t>
            </w:r>
          </w:p>
        </w:tc>
        <w:tc>
          <w:tcPr>
            <w:tcW w:w="1418" w:type="dxa"/>
            <w:vMerge w:val="restart"/>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米擒酒庄</w:t>
            </w:r>
          </w:p>
          <w:p>
            <w:pPr>
              <w:jc w:val="center"/>
              <w:rPr>
                <w:rFonts w:ascii="宋体" w:hAnsi="宋体" w:eastAsia="仿宋_GB2312" w:cs="Times New Roman"/>
                <w:sz w:val="28"/>
                <w:szCs w:val="28"/>
              </w:rPr>
            </w:pPr>
          </w:p>
        </w:tc>
        <w:tc>
          <w:tcPr>
            <w:tcW w:w="5298" w:type="dxa"/>
            <w:vAlign w:val="center"/>
          </w:tcPr>
          <w:p>
            <w:pPr>
              <w:jc w:val="center"/>
              <w:rPr>
                <w:rFonts w:ascii="Calibri" w:hAnsi="Calibri" w:eastAsia="仿宋_GB2312" w:cs="Times New Roman"/>
                <w:sz w:val="28"/>
                <w:szCs w:val="28"/>
              </w:rPr>
            </w:pPr>
            <w:r>
              <w:rPr>
                <w:rFonts w:hint="eastAsia" w:ascii="宋体" w:hAnsi="宋体" w:eastAsia="仿宋_GB2312" w:cs="Times New Roman"/>
                <w:sz w:val="28"/>
                <w:szCs w:val="28"/>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2</w:t>
            </w:r>
          </w:p>
        </w:tc>
        <w:tc>
          <w:tcPr>
            <w:tcW w:w="3093" w:type="dxa"/>
            <w:vAlign w:val="center"/>
          </w:tcPr>
          <w:p>
            <w:pPr>
              <w:rPr>
                <w:rFonts w:ascii="宋体" w:hAnsi="宋体" w:eastAsia="仿宋_GB2312" w:cs="Times New Roman"/>
                <w:sz w:val="28"/>
                <w:szCs w:val="28"/>
              </w:rPr>
            </w:pPr>
            <w:r>
              <w:rPr>
                <w:rFonts w:hint="eastAsia" w:ascii="宋体" w:hAnsi="宋体" w:eastAsia="仿宋_GB2312" w:cs="Times New Roman"/>
                <w:sz w:val="28"/>
                <w:szCs w:val="28"/>
              </w:rPr>
              <w:t>标准第</w:t>
            </w:r>
            <w:r>
              <w:rPr>
                <w:rFonts w:ascii="宋体" w:hAnsi="宋体" w:eastAsia="仿宋_GB2312" w:cs="Times New Roman"/>
                <w:sz w:val="28"/>
                <w:szCs w:val="28"/>
              </w:rPr>
              <w:t>6</w:t>
            </w:r>
            <w:r>
              <w:rPr>
                <w:rFonts w:hint="eastAsia" w:ascii="宋体" w:hAnsi="宋体" w:eastAsia="仿宋_GB2312" w:cs="Times New Roman"/>
                <w:sz w:val="28"/>
                <w:szCs w:val="28"/>
              </w:rPr>
              <w:t>.</w:t>
            </w:r>
            <w:r>
              <w:rPr>
                <w:rFonts w:ascii="宋体" w:hAnsi="宋体" w:eastAsia="仿宋_GB2312" w:cs="Times New Roman"/>
                <w:sz w:val="28"/>
                <w:szCs w:val="28"/>
              </w:rPr>
              <w:t>2</w:t>
            </w:r>
            <w:r>
              <w:rPr>
                <w:rFonts w:hint="eastAsia" w:ascii="宋体" w:hAnsi="宋体" w:eastAsia="仿宋_GB2312" w:cs="Times New Roman"/>
                <w:sz w:val="28"/>
                <w:szCs w:val="28"/>
              </w:rPr>
              <w:t>.</w:t>
            </w:r>
            <w:r>
              <w:rPr>
                <w:rFonts w:ascii="宋体" w:hAnsi="宋体" w:eastAsia="仿宋_GB2312" w:cs="Times New Roman"/>
                <w:sz w:val="28"/>
                <w:szCs w:val="28"/>
              </w:rPr>
              <w:t>7.1</w:t>
            </w:r>
            <w:r>
              <w:rPr>
                <w:rFonts w:hint="eastAsia" w:ascii="宋体" w:hAnsi="宋体" w:eastAsia="仿宋_GB2312" w:cs="Times New Roman"/>
                <w:sz w:val="28"/>
                <w:szCs w:val="28"/>
              </w:rPr>
              <w:t>条，内容为：增加糖度</w:t>
            </w:r>
          </w:p>
        </w:tc>
        <w:tc>
          <w:tcPr>
            <w:tcW w:w="3827" w:type="dxa"/>
            <w:vAlign w:val="center"/>
          </w:tcPr>
          <w:p>
            <w:pPr>
              <w:rPr>
                <w:rFonts w:ascii="宋体" w:hAnsi="宋体" w:eastAsia="仿宋_GB2312" w:cs="Times New Roman"/>
                <w:sz w:val="28"/>
                <w:szCs w:val="28"/>
              </w:rPr>
            </w:pPr>
            <w:r>
              <w:rPr>
                <w:rFonts w:hint="eastAsia" w:ascii="宋体" w:hAnsi="宋体" w:eastAsia="仿宋_GB2312" w:cs="Times New Roman"/>
                <w:sz w:val="28"/>
                <w:szCs w:val="28"/>
              </w:rPr>
              <w:t>增加糖度内容建议去掉，这几年宁夏葡萄成熟后糖度偏高，很多酒庄在研究如何降低糖度而不需要增加糖度</w:t>
            </w:r>
          </w:p>
        </w:tc>
        <w:tc>
          <w:tcPr>
            <w:tcW w:w="1418" w:type="dxa"/>
            <w:vMerge w:val="continue"/>
            <w:vAlign w:val="center"/>
          </w:tcPr>
          <w:p>
            <w:pPr>
              <w:jc w:val="center"/>
              <w:rPr>
                <w:rFonts w:ascii="宋体" w:hAnsi="宋体" w:eastAsia="仿宋_GB2312" w:cs="Times New Roman"/>
                <w:sz w:val="28"/>
                <w:szCs w:val="28"/>
              </w:rPr>
            </w:pPr>
          </w:p>
        </w:tc>
        <w:tc>
          <w:tcPr>
            <w:tcW w:w="5298" w:type="dxa"/>
            <w:vAlign w:val="center"/>
          </w:tcPr>
          <w:p>
            <w:pPr>
              <w:jc w:val="center"/>
              <w:rPr>
                <w:rFonts w:ascii="Calibri" w:hAnsi="Calibri" w:eastAsia="仿宋_GB2312" w:cs="Times New Roman"/>
                <w:sz w:val="28"/>
                <w:szCs w:val="28"/>
              </w:rPr>
            </w:pPr>
            <w:r>
              <w:rPr>
                <w:rFonts w:hint="eastAsia" w:ascii="宋体" w:hAnsi="宋体" w:eastAsia="仿宋_GB2312" w:cs="Times New Roman"/>
                <w:sz w:val="28"/>
                <w:szCs w:val="28"/>
              </w:rPr>
              <w:t>部分采纳。修改为：贺兰山东麓干红葡萄酒一般不进行增加原料含糖量的处理，但在特殊情况下可使用白砂糖将含糖量调整到产品需要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3</w:t>
            </w:r>
          </w:p>
        </w:tc>
        <w:tc>
          <w:tcPr>
            <w:tcW w:w="3093" w:type="dxa"/>
            <w:vAlign w:val="center"/>
          </w:tcPr>
          <w:p>
            <w:pPr>
              <w:rPr>
                <w:rFonts w:ascii="宋体" w:hAnsi="宋体" w:eastAsia="仿宋_GB2312" w:cs="Times New Roman"/>
                <w:sz w:val="28"/>
                <w:szCs w:val="28"/>
              </w:rPr>
            </w:pPr>
            <w:r>
              <w:rPr>
                <w:rFonts w:hint="eastAsia" w:ascii="宋体" w:hAnsi="宋体" w:eastAsia="仿宋_GB2312" w:cs="Times New Roman"/>
                <w:sz w:val="28"/>
                <w:szCs w:val="28"/>
              </w:rPr>
              <w:t>标准第</w:t>
            </w:r>
            <w:r>
              <w:rPr>
                <w:rFonts w:ascii="宋体" w:hAnsi="宋体" w:eastAsia="仿宋_GB2312" w:cs="Times New Roman"/>
                <w:sz w:val="28"/>
                <w:szCs w:val="28"/>
              </w:rPr>
              <w:t>6</w:t>
            </w:r>
            <w:r>
              <w:rPr>
                <w:rFonts w:hint="eastAsia" w:ascii="宋体" w:hAnsi="宋体" w:eastAsia="仿宋_GB2312" w:cs="Times New Roman"/>
                <w:sz w:val="28"/>
                <w:szCs w:val="28"/>
              </w:rPr>
              <w:t>.</w:t>
            </w:r>
            <w:r>
              <w:rPr>
                <w:rFonts w:ascii="宋体" w:hAnsi="宋体" w:eastAsia="仿宋_GB2312" w:cs="Times New Roman"/>
                <w:sz w:val="28"/>
                <w:szCs w:val="28"/>
              </w:rPr>
              <w:t>2</w:t>
            </w:r>
            <w:r>
              <w:rPr>
                <w:rFonts w:hint="eastAsia" w:ascii="宋体" w:hAnsi="宋体" w:eastAsia="仿宋_GB2312" w:cs="Times New Roman"/>
                <w:sz w:val="28"/>
                <w:szCs w:val="28"/>
              </w:rPr>
              <w:t>.</w:t>
            </w:r>
            <w:r>
              <w:rPr>
                <w:rFonts w:ascii="宋体" w:hAnsi="宋体" w:eastAsia="仿宋_GB2312" w:cs="Times New Roman"/>
                <w:sz w:val="28"/>
                <w:szCs w:val="28"/>
              </w:rPr>
              <w:t>7.1</w:t>
            </w:r>
            <w:r>
              <w:rPr>
                <w:rFonts w:hint="eastAsia" w:ascii="宋体" w:hAnsi="宋体" w:eastAsia="仿宋_GB2312" w:cs="Times New Roman"/>
                <w:sz w:val="28"/>
                <w:szCs w:val="28"/>
              </w:rPr>
              <w:t>条，内容为：所含酒精度不得低于</w:t>
            </w:r>
            <w:r>
              <w:rPr>
                <w:rFonts w:ascii="宋体" w:hAnsi="宋体" w:eastAsia="仿宋_GB2312" w:cs="Times New Roman"/>
                <w:sz w:val="28"/>
                <w:szCs w:val="28"/>
              </w:rPr>
              <w:t>10.5%（v/v）</w:t>
            </w:r>
          </w:p>
        </w:tc>
        <w:tc>
          <w:tcPr>
            <w:tcW w:w="3827" w:type="dxa"/>
            <w:vAlign w:val="center"/>
          </w:tcPr>
          <w:p>
            <w:pPr>
              <w:rPr>
                <w:rFonts w:ascii="宋体" w:hAnsi="宋体" w:eastAsia="仿宋_GB2312" w:cs="Times New Roman"/>
                <w:sz w:val="28"/>
                <w:szCs w:val="28"/>
              </w:rPr>
            </w:pPr>
            <w:r>
              <w:rPr>
                <w:rFonts w:hint="eastAsia" w:ascii="宋体" w:hAnsi="宋体" w:eastAsia="仿宋_GB2312" w:cs="Times New Roman"/>
                <w:sz w:val="28"/>
                <w:szCs w:val="28"/>
              </w:rPr>
              <w:t>所含酒精度不得低于1</w:t>
            </w:r>
            <w:r>
              <w:rPr>
                <w:rFonts w:ascii="宋体" w:hAnsi="宋体" w:eastAsia="仿宋_GB2312" w:cs="Times New Roman"/>
                <w:sz w:val="28"/>
                <w:szCs w:val="28"/>
              </w:rPr>
              <w:t>2</w:t>
            </w:r>
            <w:r>
              <w:rPr>
                <w:rFonts w:hint="eastAsia" w:ascii="宋体" w:hAnsi="宋体" w:eastAsia="仿宋_GB2312" w:cs="Times New Roman"/>
                <w:sz w:val="28"/>
                <w:szCs w:val="28"/>
              </w:rPr>
              <w:t>%（v/v）</w:t>
            </w:r>
          </w:p>
        </w:tc>
        <w:tc>
          <w:tcPr>
            <w:tcW w:w="1418" w:type="dxa"/>
            <w:vMerge w:val="restart"/>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宁夏皇寇酒庄</w:t>
            </w:r>
          </w:p>
        </w:tc>
        <w:tc>
          <w:tcPr>
            <w:tcW w:w="5298" w:type="dxa"/>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vAlign w:val="center"/>
          </w:tcPr>
          <w:p>
            <w:pPr>
              <w:jc w:val="center"/>
              <w:rPr>
                <w:rFonts w:hint="eastAsia" w:ascii="宋体" w:hAnsi="宋体" w:eastAsia="仿宋_GB2312" w:cs="Times New Roman"/>
                <w:sz w:val="28"/>
                <w:szCs w:val="28"/>
              </w:rPr>
            </w:pPr>
            <w:r>
              <w:rPr>
                <w:rFonts w:hint="eastAsia" w:ascii="宋体" w:hAnsi="宋体" w:eastAsia="仿宋_GB2312" w:cs="Times New Roman"/>
                <w:sz w:val="28"/>
                <w:szCs w:val="28"/>
              </w:rPr>
              <w:t>4</w:t>
            </w:r>
          </w:p>
        </w:tc>
        <w:tc>
          <w:tcPr>
            <w:tcW w:w="3093" w:type="dxa"/>
            <w:vAlign w:val="center"/>
          </w:tcPr>
          <w:p>
            <w:pPr>
              <w:rPr>
                <w:rFonts w:hint="eastAsia" w:ascii="宋体" w:hAnsi="宋体" w:eastAsia="仿宋_GB2312" w:cs="Times New Roman"/>
                <w:sz w:val="28"/>
                <w:szCs w:val="28"/>
              </w:rPr>
            </w:pPr>
            <w:r>
              <w:rPr>
                <w:rFonts w:hint="eastAsia" w:ascii="宋体" w:hAnsi="宋体" w:eastAsia="仿宋_GB2312" w:cs="Times New Roman"/>
                <w:sz w:val="28"/>
                <w:szCs w:val="28"/>
              </w:rPr>
              <w:t>标准第6.2.7.1条，内容为：增加糖度</w:t>
            </w:r>
          </w:p>
        </w:tc>
        <w:tc>
          <w:tcPr>
            <w:tcW w:w="3827" w:type="dxa"/>
            <w:vAlign w:val="center"/>
          </w:tcPr>
          <w:p>
            <w:pPr>
              <w:rPr>
                <w:rFonts w:hint="eastAsia" w:ascii="宋体" w:hAnsi="宋体" w:eastAsia="仿宋_GB2312" w:cs="Times New Roman"/>
                <w:sz w:val="28"/>
                <w:szCs w:val="28"/>
              </w:rPr>
            </w:pPr>
            <w:r>
              <w:rPr>
                <w:rFonts w:hint="eastAsia" w:ascii="宋体" w:hAnsi="宋体" w:eastAsia="仿宋_GB2312" w:cs="Times New Roman"/>
                <w:sz w:val="28"/>
                <w:szCs w:val="28"/>
              </w:rPr>
              <w:t>不应加糖</w:t>
            </w:r>
          </w:p>
        </w:tc>
        <w:tc>
          <w:tcPr>
            <w:tcW w:w="1418" w:type="dxa"/>
            <w:vMerge w:val="continue"/>
            <w:vAlign w:val="center"/>
          </w:tcPr>
          <w:p>
            <w:pPr>
              <w:jc w:val="center"/>
              <w:rPr>
                <w:rFonts w:hint="eastAsia" w:ascii="宋体" w:hAnsi="宋体" w:eastAsia="仿宋_GB2312" w:cs="Times New Roman"/>
                <w:sz w:val="28"/>
                <w:szCs w:val="28"/>
              </w:rPr>
            </w:pPr>
          </w:p>
        </w:tc>
        <w:tc>
          <w:tcPr>
            <w:tcW w:w="5298" w:type="dxa"/>
            <w:vAlign w:val="center"/>
          </w:tcPr>
          <w:p>
            <w:pPr>
              <w:jc w:val="center"/>
              <w:rPr>
                <w:rFonts w:hint="eastAsia" w:ascii="宋体" w:hAnsi="宋体" w:eastAsia="仿宋_GB2312" w:cs="Times New Roman"/>
                <w:sz w:val="28"/>
                <w:szCs w:val="28"/>
              </w:rPr>
            </w:pPr>
            <w:r>
              <w:rPr>
                <w:rFonts w:hint="eastAsia" w:ascii="宋体" w:hAnsi="宋体" w:eastAsia="仿宋_GB2312" w:cs="Times New Roman"/>
                <w:sz w:val="28"/>
                <w:szCs w:val="28"/>
              </w:rPr>
              <w:t>同第二条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vAlign w:val="center"/>
          </w:tcPr>
          <w:p>
            <w:pPr>
              <w:jc w:val="center"/>
              <w:rPr>
                <w:rFonts w:hint="eastAsia" w:ascii="宋体" w:hAnsi="宋体" w:eastAsia="仿宋_GB2312" w:cs="Times New Roman"/>
                <w:sz w:val="28"/>
                <w:szCs w:val="28"/>
              </w:rPr>
            </w:pPr>
            <w:r>
              <w:rPr>
                <w:rFonts w:hint="eastAsia" w:ascii="宋体" w:hAnsi="宋体" w:eastAsia="仿宋_GB2312" w:cs="Times New Roman"/>
                <w:sz w:val="28"/>
                <w:szCs w:val="28"/>
              </w:rPr>
              <w:t>5</w:t>
            </w:r>
          </w:p>
        </w:tc>
        <w:tc>
          <w:tcPr>
            <w:tcW w:w="3093" w:type="dxa"/>
            <w:vAlign w:val="center"/>
          </w:tcPr>
          <w:p>
            <w:pPr>
              <w:rPr>
                <w:rFonts w:hint="eastAsia" w:ascii="宋体" w:hAnsi="宋体" w:eastAsia="仿宋_GB2312" w:cs="Times New Roman"/>
                <w:sz w:val="28"/>
                <w:szCs w:val="28"/>
              </w:rPr>
            </w:pPr>
            <w:r>
              <w:rPr>
                <w:rFonts w:hint="eastAsia" w:ascii="宋体" w:hAnsi="宋体" w:eastAsia="仿宋_GB2312" w:cs="Times New Roman"/>
                <w:sz w:val="28"/>
                <w:szCs w:val="28"/>
              </w:rPr>
              <w:t>标准第6.2.7.2　内容为：调整酸度</w:t>
            </w:r>
          </w:p>
        </w:tc>
        <w:tc>
          <w:tcPr>
            <w:tcW w:w="3827" w:type="dxa"/>
            <w:vAlign w:val="center"/>
          </w:tcPr>
          <w:p>
            <w:pPr>
              <w:rPr>
                <w:rFonts w:hint="eastAsia" w:ascii="宋体" w:hAnsi="宋体" w:eastAsia="仿宋_GB2312" w:cs="Times New Roman"/>
                <w:sz w:val="28"/>
                <w:szCs w:val="28"/>
              </w:rPr>
            </w:pPr>
            <w:r>
              <w:rPr>
                <w:rFonts w:hint="eastAsia" w:ascii="宋体" w:hAnsi="宋体" w:eastAsia="仿宋_GB2312" w:cs="Times New Roman"/>
                <w:sz w:val="28"/>
                <w:szCs w:val="28"/>
              </w:rPr>
              <w:t>贺兰山东麓的酸度普遍偏低，应考虑如何保持酸度</w:t>
            </w:r>
          </w:p>
        </w:tc>
        <w:tc>
          <w:tcPr>
            <w:tcW w:w="1418" w:type="dxa"/>
            <w:vMerge w:val="continue"/>
            <w:vAlign w:val="center"/>
          </w:tcPr>
          <w:p>
            <w:pPr>
              <w:jc w:val="center"/>
              <w:rPr>
                <w:rFonts w:hint="eastAsia" w:ascii="宋体" w:hAnsi="宋体" w:eastAsia="仿宋_GB2312" w:cs="Times New Roman"/>
                <w:sz w:val="28"/>
                <w:szCs w:val="28"/>
              </w:rPr>
            </w:pPr>
          </w:p>
        </w:tc>
        <w:tc>
          <w:tcPr>
            <w:tcW w:w="5298" w:type="dxa"/>
            <w:vAlign w:val="center"/>
          </w:tcPr>
          <w:p>
            <w:pPr>
              <w:jc w:val="center"/>
              <w:rPr>
                <w:rFonts w:hint="eastAsia" w:ascii="宋体" w:hAnsi="宋体" w:eastAsia="仿宋_GB2312" w:cs="Times New Roman"/>
                <w:sz w:val="28"/>
                <w:szCs w:val="28"/>
              </w:rPr>
            </w:pPr>
            <w:r>
              <w:rPr>
                <w:rFonts w:hint="eastAsia" w:ascii="宋体" w:hAnsi="宋体" w:eastAsia="仿宋_GB2312" w:cs="Times New Roman"/>
                <w:sz w:val="28"/>
                <w:szCs w:val="28"/>
              </w:rPr>
              <w:t>部分采纳。修改为：贺兰山东麓干红葡萄酒应避免使用化学降酸的方法降酸；可使用具有分解苹果酸特性的酵母和乳酸细菌接种葡萄酒分解苹果酸以增强葡萄酒细菌学稳定性。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vAlign w:val="center"/>
          </w:tcPr>
          <w:p>
            <w:pPr>
              <w:jc w:val="center"/>
              <w:rPr>
                <w:rFonts w:ascii="宋体" w:hAnsi="宋体" w:eastAsia="仿宋_GB2312" w:cs="Times New Roman"/>
                <w:sz w:val="28"/>
                <w:szCs w:val="28"/>
              </w:rPr>
            </w:pPr>
            <w:r>
              <w:rPr>
                <w:rFonts w:ascii="宋体" w:hAnsi="宋体" w:eastAsia="仿宋_GB2312" w:cs="Times New Roman"/>
                <w:sz w:val="28"/>
                <w:szCs w:val="28"/>
              </w:rPr>
              <w:t>6</w:t>
            </w:r>
          </w:p>
        </w:tc>
        <w:tc>
          <w:tcPr>
            <w:tcW w:w="3093" w:type="dxa"/>
            <w:vAlign w:val="center"/>
          </w:tcPr>
          <w:p>
            <w:pPr>
              <w:rPr>
                <w:rFonts w:ascii="宋体" w:hAnsi="宋体" w:eastAsia="仿宋_GB2312" w:cs="Times New Roman"/>
                <w:sz w:val="28"/>
                <w:szCs w:val="28"/>
              </w:rPr>
            </w:pPr>
            <w:r>
              <w:rPr>
                <w:rFonts w:hint="eastAsia" w:ascii="宋体" w:hAnsi="宋体" w:eastAsia="仿宋_GB2312" w:cs="Times New Roman"/>
                <w:sz w:val="28"/>
                <w:szCs w:val="28"/>
              </w:rPr>
              <w:t>标准第6.2.7.2　内容为：糖度</w:t>
            </w:r>
          </w:p>
        </w:tc>
        <w:tc>
          <w:tcPr>
            <w:tcW w:w="3827" w:type="dxa"/>
            <w:vAlign w:val="center"/>
          </w:tcPr>
          <w:p>
            <w:pPr>
              <w:rPr>
                <w:rFonts w:ascii="宋体" w:hAnsi="宋体" w:eastAsia="仿宋_GB2312" w:cs="Times New Roman"/>
                <w:sz w:val="28"/>
                <w:szCs w:val="28"/>
              </w:rPr>
            </w:pPr>
            <w:r>
              <w:rPr>
                <w:rFonts w:hint="eastAsia" w:ascii="宋体" w:hAnsi="宋体" w:eastAsia="仿宋_GB2312" w:cs="Times New Roman"/>
                <w:sz w:val="28"/>
                <w:szCs w:val="28"/>
              </w:rPr>
              <w:t>建议糖提高到2</w:t>
            </w:r>
            <w:r>
              <w:rPr>
                <w:rFonts w:ascii="宋体" w:hAnsi="宋体" w:eastAsia="仿宋_GB2312" w:cs="Times New Roman"/>
                <w:sz w:val="28"/>
                <w:szCs w:val="28"/>
              </w:rPr>
              <w:t>20g,</w:t>
            </w:r>
            <w:r>
              <w:rPr>
                <w:rFonts w:hint="eastAsia" w:ascii="宋体" w:hAnsi="宋体" w:eastAsia="仿宋_GB2312" w:cs="Times New Roman"/>
                <w:sz w:val="28"/>
                <w:szCs w:val="28"/>
              </w:rPr>
              <w:t>做到1</w:t>
            </w:r>
            <w:r>
              <w:rPr>
                <w:rFonts w:ascii="宋体" w:hAnsi="宋体" w:eastAsia="仿宋_GB2312" w:cs="Times New Roman"/>
                <w:sz w:val="28"/>
                <w:szCs w:val="28"/>
              </w:rPr>
              <w:t>2</w:t>
            </w:r>
            <w:r>
              <w:rPr>
                <w:rFonts w:hint="eastAsia" w:ascii="宋体" w:hAnsi="宋体" w:eastAsia="仿宋_GB2312" w:cs="Times New Roman"/>
                <w:sz w:val="28"/>
                <w:szCs w:val="28"/>
              </w:rPr>
              <w:t>%以上的酒精度</w:t>
            </w:r>
          </w:p>
        </w:tc>
        <w:tc>
          <w:tcPr>
            <w:tcW w:w="1418" w:type="dxa"/>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宁夏莱恩堡酒业</w:t>
            </w:r>
          </w:p>
        </w:tc>
        <w:tc>
          <w:tcPr>
            <w:tcW w:w="5298" w:type="dxa"/>
            <w:vAlign w:val="center"/>
          </w:tcPr>
          <w:p>
            <w:pPr>
              <w:jc w:val="center"/>
              <w:rPr>
                <w:rFonts w:ascii="Calibri" w:hAnsi="Calibri" w:eastAsia="仿宋_GB2312" w:cs="Times New Roman"/>
                <w:sz w:val="28"/>
                <w:szCs w:val="28"/>
              </w:rPr>
            </w:pPr>
            <w:r>
              <w:rPr>
                <w:rFonts w:hint="eastAsia" w:ascii="宋体" w:hAnsi="宋体" w:eastAsia="仿宋_GB2312" w:cs="Times New Roman"/>
                <w:sz w:val="28"/>
                <w:szCs w:val="28"/>
              </w:rPr>
              <w:t>未采纳。理由如下：特殊年份可能会出现葡萄含糖量达不到2</w:t>
            </w:r>
            <w:r>
              <w:rPr>
                <w:rFonts w:ascii="宋体" w:hAnsi="宋体" w:eastAsia="仿宋_GB2312" w:cs="Times New Roman"/>
                <w:sz w:val="28"/>
                <w:szCs w:val="28"/>
              </w:rPr>
              <w:t>20g</w:t>
            </w:r>
            <w:r>
              <w:rPr>
                <w:rFonts w:hint="eastAsia" w:ascii="宋体" w:hAnsi="宋体" w:eastAsia="仿宋_GB2312" w:cs="Times New Roman"/>
                <w:sz w:val="28"/>
                <w:szCs w:val="28"/>
              </w:rPr>
              <w:t>，但可通过加糖做到1</w:t>
            </w:r>
            <w:r>
              <w:rPr>
                <w:rFonts w:ascii="宋体" w:hAnsi="宋体" w:eastAsia="仿宋_GB2312" w:cs="Times New Roman"/>
                <w:sz w:val="28"/>
                <w:szCs w:val="28"/>
              </w:rPr>
              <w:t>2</w:t>
            </w:r>
            <w:r>
              <w:rPr>
                <w:rFonts w:hint="eastAsia" w:ascii="宋体" w:hAnsi="宋体" w:eastAsia="仿宋_GB2312" w:cs="Times New Roman"/>
                <w:sz w:val="28"/>
                <w:szCs w:val="28"/>
              </w:rPr>
              <w:t>%（v</w:t>
            </w:r>
            <w:r>
              <w:rPr>
                <w:rFonts w:ascii="宋体" w:hAnsi="宋体" w:eastAsia="仿宋_GB2312" w:cs="Times New Roman"/>
                <w:sz w:val="28"/>
                <w:szCs w:val="28"/>
              </w:rPr>
              <w:t>/v</w:t>
            </w:r>
            <w:r>
              <w:rPr>
                <w:rFonts w:hint="eastAsia" w:ascii="宋体" w:hAnsi="宋体" w:eastAsia="仿宋_GB2312" w:cs="Times New Roman"/>
                <w:sz w:val="28"/>
                <w:szCs w:val="28"/>
              </w:rPr>
              <w:t>）的酒精度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88" w:type="dxa"/>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7</w:t>
            </w:r>
          </w:p>
        </w:tc>
        <w:tc>
          <w:tcPr>
            <w:tcW w:w="3093" w:type="dxa"/>
            <w:vAlign w:val="center"/>
          </w:tcPr>
          <w:p>
            <w:pPr>
              <w:rPr>
                <w:rFonts w:ascii="宋体" w:hAnsi="宋体" w:eastAsia="仿宋_GB2312" w:cs="Times New Roman"/>
                <w:sz w:val="28"/>
                <w:szCs w:val="28"/>
              </w:rPr>
            </w:pPr>
          </w:p>
        </w:tc>
        <w:tc>
          <w:tcPr>
            <w:tcW w:w="3827" w:type="dxa"/>
            <w:vAlign w:val="center"/>
          </w:tcPr>
          <w:p>
            <w:pPr>
              <w:rPr>
                <w:rFonts w:ascii="宋体" w:hAnsi="宋体" w:eastAsia="仿宋_GB2312" w:cs="Times New Roman"/>
                <w:sz w:val="28"/>
                <w:szCs w:val="28"/>
              </w:rPr>
            </w:pPr>
          </w:p>
        </w:tc>
        <w:tc>
          <w:tcPr>
            <w:tcW w:w="1418" w:type="dxa"/>
            <w:vAlign w:val="center"/>
          </w:tcPr>
          <w:p>
            <w:pPr>
              <w:jc w:val="center"/>
              <w:rPr>
                <w:rFonts w:ascii="宋体" w:hAnsi="宋体" w:eastAsia="仿宋_GB2312" w:cs="Times New Roman"/>
                <w:sz w:val="28"/>
                <w:szCs w:val="28"/>
              </w:rPr>
            </w:pPr>
          </w:p>
        </w:tc>
        <w:tc>
          <w:tcPr>
            <w:tcW w:w="5298" w:type="dxa"/>
            <w:vAlign w:val="center"/>
          </w:tcPr>
          <w:p>
            <w:pPr>
              <w:jc w:val="center"/>
              <w:rPr>
                <w:rFonts w:ascii="Calibri" w:hAnsi="Calibri" w:eastAsia="仿宋_GB2312" w:cs="Times New Roman"/>
                <w:sz w:val="28"/>
                <w:szCs w:val="2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27"/>
    <w:rsid w:val="00311565"/>
    <w:rsid w:val="00340253"/>
    <w:rsid w:val="00790F27"/>
    <w:rsid w:val="00AF3388"/>
    <w:rsid w:val="00BE18CD"/>
    <w:rsid w:val="00C70B98"/>
    <w:rsid w:val="00DE1BEC"/>
    <w:rsid w:val="00EC7C28"/>
    <w:rsid w:val="38F373A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86</Words>
  <Characters>491</Characters>
  <Lines>4</Lines>
  <Paragraphs>1</Paragraphs>
  <TotalTime>0</TotalTime>
  <ScaleCrop>false</ScaleCrop>
  <LinksUpToDate>false</LinksUpToDate>
  <CharactersWithSpaces>576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2019-10-31T13:08:00Z</dcterms:created>
  <dc:creator>刚 金</dc:creator>
  <cp:lastModifiedBy>Administrator</cp:lastModifiedBy>
  <dcterms:modified xsi:type="dcterms:W3CDTF">2019-11-07T08:10:15Z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