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99" w:lineRule="auto"/>
        <w:rPr>
          <w:rFonts w:ascii="Arial"/>
          <w:sz w:val="21"/>
        </w:rPr>
      </w:pPr>
      <w:r/>
    </w:p>
    <w:p>
      <w:pPr>
        <w:ind w:firstLine="247"/>
        <w:spacing w:before="328" w:line="219" w:lineRule="auto"/>
        <w:rPr>
          <w:rFonts w:ascii="SimSun" w:hAnsi="SimSun" w:eastAsia="SimSun" w:cs="SimSun"/>
          <w:sz w:val="101"/>
          <w:szCs w:val="101"/>
        </w:rPr>
      </w:pPr>
      <w:r>
        <w:rPr>
          <w:rFonts w:ascii="SimSun" w:hAnsi="SimSun" w:eastAsia="SimSun" w:cs="SimSun"/>
          <w:sz w:val="101"/>
          <w:szCs w:val="101"/>
          <w:u w:val="single" w:color="auto"/>
          <w:color w:val="FF2100"/>
          <w14:textOutline w14:w="18338" w14:cap="flat" w14:cmpd="sng">
            <w14:solidFill>
              <w14:srgbClr w14:val="FF2100"/>
            </w14:solidFill>
            <w14:prstDash w14:val="solid"/>
            <w14:miter w14:lim="10"/>
          </w14:textOutline>
          <w:spacing w:val="-55"/>
          <w:w w:val="54"/>
        </w:rPr>
        <w:t>宁夏贺东麓葡萄酒产业园区管理委员会</w:t>
      </w:r>
    </w:p>
    <w:p>
      <w:pPr>
        <w:spacing w:line="334" w:lineRule="auto"/>
        <w:rPr>
          <w:rFonts w:ascii="Arial"/>
          <w:sz w:val="21"/>
        </w:rPr>
      </w:pPr>
      <w:r/>
    </w:p>
    <w:p>
      <w:pPr>
        <w:spacing w:line="335" w:lineRule="auto"/>
        <w:rPr>
          <w:rFonts w:ascii="Arial"/>
          <w:sz w:val="21"/>
        </w:rPr>
      </w:pPr>
      <w:r/>
    </w:p>
    <w:p>
      <w:pPr>
        <w:ind w:left="2906" w:right="1252" w:hanging="1700"/>
        <w:spacing w:before="147" w:line="237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关于开展2022年自治区青年托举</w:t>
      </w:r>
      <w:r>
        <w:rPr>
          <w:rFonts w:ascii="SimSun" w:hAnsi="SimSun" w:eastAsia="SimSun" w:cs="SimSun"/>
          <w:sz w:val="45"/>
          <w:szCs w:val="45"/>
          <w:spacing w:val="2"/>
        </w:rPr>
        <w:t> </w:t>
      </w:r>
      <w:r>
        <w:rPr>
          <w:rFonts w:ascii="SimSun" w:hAnsi="SimSun" w:eastAsia="SimSun" w:cs="SimSun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人才选拔的通知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before="108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6"/>
        </w:rPr>
        <w:t>各有关市、县(区)葡萄酒产业主管部门:</w:t>
      </w:r>
    </w:p>
    <w:p>
      <w:pPr>
        <w:ind w:right="130" w:firstLine="659"/>
        <w:spacing w:before="171" w:line="31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5"/>
        </w:rPr>
        <w:t>根据自治区党委宣传部、自治区科学技术协会、自治区人才</w:t>
      </w:r>
      <w:r>
        <w:rPr>
          <w:rFonts w:ascii="FangSong" w:hAnsi="FangSong" w:eastAsia="FangSong" w:cs="FangSong"/>
          <w:sz w:val="33"/>
          <w:szCs w:val="33"/>
          <w:spacing w:val="4"/>
        </w:rPr>
        <w:t> </w:t>
      </w:r>
      <w:r>
        <w:rPr>
          <w:rFonts w:ascii="FangSong" w:hAnsi="FangSong" w:eastAsia="FangSong" w:cs="FangSong"/>
          <w:sz w:val="33"/>
          <w:szCs w:val="33"/>
          <w:spacing w:val="-4"/>
        </w:rPr>
        <w:t>工作领导小组办公室《关于开展2022年自治区青年托举人才选</w:t>
      </w:r>
      <w:r>
        <w:rPr>
          <w:rFonts w:ascii="FangSong" w:hAnsi="FangSong" w:eastAsia="FangSong" w:cs="FangSong"/>
          <w:sz w:val="33"/>
          <w:szCs w:val="33"/>
          <w:spacing w:val="20"/>
        </w:rPr>
        <w:t> </w:t>
      </w:r>
      <w:r>
        <w:rPr>
          <w:rFonts w:ascii="FangSong" w:hAnsi="FangSong" w:eastAsia="FangSong" w:cs="FangSong"/>
          <w:sz w:val="33"/>
          <w:szCs w:val="33"/>
          <w:spacing w:val="13"/>
        </w:rPr>
        <w:t>拔工作的通知》(宁科协发组字〔2022〕20号)文件,现就开</w:t>
      </w:r>
      <w:r>
        <w:rPr>
          <w:rFonts w:ascii="FangSong" w:hAnsi="FangSong" w:eastAsia="FangSong" w:cs="FangSong"/>
          <w:sz w:val="33"/>
          <w:szCs w:val="33"/>
          <w:spacing w:val="9"/>
        </w:rPr>
        <w:t> </w:t>
      </w:r>
      <w:r>
        <w:rPr>
          <w:rFonts w:ascii="FangSong" w:hAnsi="FangSong" w:eastAsia="FangSong" w:cs="FangSong"/>
          <w:sz w:val="33"/>
          <w:szCs w:val="33"/>
          <w:spacing w:val="-12"/>
        </w:rPr>
        <w:t>展自治区青年托举人才选拔工作有关事项通知如下:</w:t>
      </w:r>
    </w:p>
    <w:p>
      <w:pPr>
        <w:ind w:firstLine="664"/>
        <w:spacing w:before="1" w:line="221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一、选拔范围、条件和程序</w:t>
      </w:r>
    </w:p>
    <w:p>
      <w:pPr>
        <w:ind w:firstLine="729"/>
        <w:spacing w:before="157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3"/>
        </w:rPr>
        <w:t>自治区青年托举人才选拔条件及程序见《关于开展2022年</w:t>
      </w:r>
    </w:p>
    <w:p>
      <w:pPr>
        <w:ind w:firstLine="69"/>
        <w:spacing w:before="157" w:line="318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6"/>
        </w:rPr>
        <w:t>自治区青年托举人才选拔工作的通知》(宁科协发组字〔2022〕</w:t>
      </w:r>
      <w:r>
        <w:rPr>
          <w:rFonts w:ascii="FangSong" w:hAnsi="FangSong" w:eastAsia="FangSong" w:cs="FangSong"/>
          <w:sz w:val="33"/>
          <w:szCs w:val="33"/>
          <w:spacing w:val="20"/>
        </w:rPr>
        <w:t> </w:t>
      </w:r>
      <w:r>
        <w:rPr>
          <w:rFonts w:ascii="FangSong" w:hAnsi="FangSong" w:eastAsia="FangSong" w:cs="FangSong"/>
          <w:sz w:val="33"/>
          <w:szCs w:val="33"/>
          <w:spacing w:val="12"/>
        </w:rPr>
        <w:t>20号)文件规定。</w:t>
      </w:r>
    </w:p>
    <w:p>
      <w:pPr>
        <w:ind w:firstLine="659"/>
        <w:spacing w:before="1" w:line="221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spacing w:val="-8"/>
        </w:rPr>
        <w:t>二、申报注意事项</w:t>
      </w:r>
    </w:p>
    <w:p>
      <w:pPr>
        <w:ind w:right="140" w:firstLine="800"/>
        <w:spacing w:before="171" w:line="317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4"/>
        </w:rPr>
        <w:t>(一)各有关市、县(区)葡萄酒产业主管部门对申报人选</w:t>
      </w:r>
      <w:r>
        <w:rPr>
          <w:rFonts w:ascii="FangSong" w:hAnsi="FangSong" w:eastAsia="FangSong" w:cs="FangSong"/>
          <w:sz w:val="33"/>
          <w:szCs w:val="33"/>
          <w:spacing w:val="20"/>
        </w:rPr>
        <w:t> </w:t>
      </w:r>
      <w:r>
        <w:rPr>
          <w:rFonts w:ascii="FangSong" w:hAnsi="FangSong" w:eastAsia="FangSong" w:cs="FangSong"/>
          <w:sz w:val="33"/>
          <w:szCs w:val="33"/>
          <w:spacing w:val="-10"/>
        </w:rPr>
        <w:t>申报材料资料要严格审核把关,所有复印件必须由核实人签字并</w:t>
      </w:r>
      <w:r>
        <w:rPr>
          <w:rFonts w:ascii="FangSong" w:hAnsi="FangSong" w:eastAsia="FangSong" w:cs="FangSong"/>
          <w:sz w:val="33"/>
          <w:szCs w:val="33"/>
          <w:spacing w:val="15"/>
        </w:rPr>
        <w:t> </w:t>
      </w:r>
      <w:r>
        <w:rPr>
          <w:rFonts w:ascii="FangSong" w:hAnsi="FangSong" w:eastAsia="FangSong" w:cs="FangSong"/>
          <w:sz w:val="33"/>
          <w:szCs w:val="33"/>
          <w:spacing w:val="-9"/>
        </w:rPr>
        <w:t>加盖单位印章,佐证材料需以图书样式统一装订。查阅附件表格</w:t>
      </w:r>
      <w:r>
        <w:rPr>
          <w:rFonts w:ascii="FangSong" w:hAnsi="FangSong" w:eastAsia="FangSong" w:cs="FangSong"/>
          <w:sz w:val="33"/>
          <w:szCs w:val="33"/>
          <w:spacing w:val="16"/>
        </w:rPr>
        <w:t> </w:t>
      </w:r>
      <w:r>
        <w:rPr>
          <w:rFonts w:ascii="FangSong" w:hAnsi="FangSong" w:eastAsia="FangSong" w:cs="FangSong"/>
          <w:sz w:val="33"/>
          <w:szCs w:val="33"/>
          <w:spacing w:val="-9"/>
        </w:rPr>
        <w:t>并认真据实填报,申报书一式两份、基本情况表和同行专家推荐</w:t>
      </w:r>
      <w:r>
        <w:rPr>
          <w:rFonts w:ascii="FangSong" w:hAnsi="FangSong" w:eastAsia="FangSong" w:cs="FangSong"/>
          <w:sz w:val="33"/>
          <w:szCs w:val="33"/>
          <w:spacing w:val="19"/>
        </w:rPr>
        <w:t> </w:t>
      </w:r>
      <w:r>
        <w:rPr>
          <w:rFonts w:ascii="FangSong" w:hAnsi="FangSong" w:eastAsia="FangSong" w:cs="FangSong"/>
          <w:sz w:val="33"/>
          <w:szCs w:val="33"/>
          <w:spacing w:val="8"/>
        </w:rPr>
        <w:t>表一式一份(同行专家推荐用),同时提交电子版。</w:t>
      </w:r>
    </w:p>
    <w:p>
      <w:pPr>
        <w:sectPr>
          <w:footerReference w:type="default" r:id="rId1"/>
          <w:pgSz w:w="11900" w:h="16830"/>
          <w:pgMar w:top="1430" w:right="1414" w:bottom="1657" w:left="1499" w:header="0" w:footer="1430" w:gutter="0"/>
        </w:sectPr>
        <w:rPr/>
      </w:pPr>
    </w:p>
    <w:p>
      <w:pPr>
        <w:spacing w:line="324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firstLine="800"/>
        <w:spacing w:before="101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  <w:w w:val="102"/>
        </w:rPr>
        <w:t>(二)各市、县(区)在推荐青年托举人才时要严格选拔条</w:t>
      </w:r>
      <w:r>
        <w:rPr>
          <w:rFonts w:ascii="FangSong" w:hAnsi="FangSong" w:eastAsia="FangSong" w:cs="FangSong"/>
          <w:sz w:val="31"/>
          <w:szCs w:val="31"/>
          <w:spacing w:val="2"/>
        </w:rPr>
        <w:t> </w:t>
      </w:r>
      <w:r>
        <w:rPr>
          <w:rFonts w:ascii="FangSong" w:hAnsi="FangSong" w:eastAsia="FangSong" w:cs="FangSong"/>
          <w:sz w:val="31"/>
          <w:szCs w:val="31"/>
          <w:spacing w:val="8"/>
        </w:rPr>
        <w:t>件,突出业绩成果的审核认定,坚持好中选优。贺兰县、西夏区、</w:t>
      </w:r>
      <w:r>
        <w:rPr>
          <w:rFonts w:ascii="FangSong" w:hAnsi="FangSong" w:eastAsia="FangSong" w:cs="FangSong"/>
          <w:sz w:val="31"/>
          <w:szCs w:val="31"/>
          <w:spacing w:val="13"/>
        </w:rPr>
        <w:t> </w:t>
      </w:r>
      <w:r>
        <w:rPr>
          <w:rFonts w:ascii="FangSong" w:hAnsi="FangSong" w:eastAsia="FangSong" w:cs="FangSong"/>
          <w:sz w:val="31"/>
          <w:szCs w:val="31"/>
          <w:spacing w:val="10"/>
        </w:rPr>
        <w:t>永宁县、青铜峡市、红寺堡区产业主管部门各推荐报送2名。其</w:t>
      </w:r>
      <w:r>
        <w:rPr>
          <w:rFonts w:ascii="FangSong" w:hAnsi="FangSong" w:eastAsia="FangSong" w:cs="FangSong"/>
          <w:sz w:val="31"/>
          <w:szCs w:val="31"/>
          <w:spacing w:val="6"/>
        </w:rPr>
        <w:t> </w:t>
      </w:r>
      <w:r>
        <w:rPr>
          <w:rFonts w:ascii="FangSong" w:hAnsi="FangSong" w:eastAsia="FangSong" w:cs="FangSong"/>
          <w:sz w:val="31"/>
          <w:szCs w:val="31"/>
          <w:spacing w:val="16"/>
          <w:w w:val="101"/>
        </w:rPr>
        <w:t>他县区各推荐1名。经个人申请,单位审核,按照"公开、公平、</w:t>
      </w:r>
      <w:r>
        <w:rPr>
          <w:rFonts w:ascii="FangSong" w:hAnsi="FangSong" w:eastAsia="FangSong" w:cs="FangSong"/>
          <w:sz w:val="31"/>
          <w:szCs w:val="31"/>
          <w:spacing w:val="27"/>
        </w:rPr>
        <w:t> </w:t>
      </w:r>
      <w:r>
        <w:rPr>
          <w:rFonts w:ascii="FangSong" w:hAnsi="FangSong" w:eastAsia="FangSong" w:cs="FangSong"/>
          <w:sz w:val="31"/>
          <w:szCs w:val="31"/>
          <w:spacing w:val="15"/>
          <w:w w:val="104"/>
        </w:rPr>
        <w:t>竞争、择优"原则,确定推荐人选,公示无异议后,报送贺兰山</w:t>
      </w:r>
      <w:r>
        <w:rPr>
          <w:rFonts w:ascii="FangSong" w:hAnsi="FangSong" w:eastAsia="FangSong" w:cs="FangSong"/>
          <w:sz w:val="31"/>
          <w:szCs w:val="31"/>
          <w:spacing w:val="11"/>
        </w:rPr>
        <w:t> </w:t>
      </w:r>
      <w:r>
        <w:rPr>
          <w:rFonts w:ascii="FangSong" w:hAnsi="FangSong" w:eastAsia="FangSong" w:cs="FangSong"/>
          <w:sz w:val="31"/>
          <w:szCs w:val="31"/>
          <w:spacing w:val="-2"/>
        </w:rPr>
        <w:t>东麓园区管委会。</w:t>
      </w:r>
    </w:p>
    <w:p>
      <w:pPr>
        <w:ind w:right="115" w:firstLine="800"/>
        <w:spacing w:before="2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(三)已入选过自治区青年人才托举工程及以上层次人才培</w:t>
      </w:r>
      <w:r>
        <w:rPr>
          <w:rFonts w:ascii="FangSong" w:hAnsi="FangSong" w:eastAsia="FangSong" w:cs="FangSong"/>
          <w:sz w:val="31"/>
          <w:szCs w:val="31"/>
          <w:spacing w:val="19"/>
        </w:rPr>
        <w:t> </w:t>
      </w:r>
      <w:r>
        <w:rPr>
          <w:rFonts w:ascii="FangSong" w:hAnsi="FangSong" w:eastAsia="FangSong" w:cs="FangSong"/>
          <w:sz w:val="31"/>
          <w:szCs w:val="31"/>
          <w:spacing w:val="10"/>
        </w:rPr>
        <w:t>养工程人员,同一年度申报自治区领军人才、青年拔尖人才的人</w:t>
      </w:r>
      <w:r>
        <w:rPr>
          <w:rFonts w:ascii="FangSong" w:hAnsi="FangSong" w:eastAsia="FangSong" w:cs="FangSong"/>
          <w:sz w:val="31"/>
          <w:szCs w:val="31"/>
          <w:spacing w:val="4"/>
        </w:rPr>
        <w:t> </w:t>
      </w:r>
      <w:r>
        <w:rPr>
          <w:rFonts w:ascii="FangSong" w:hAnsi="FangSong" w:eastAsia="FangSong" w:cs="FangSong"/>
          <w:sz w:val="31"/>
          <w:szCs w:val="31"/>
          <w:spacing w:val="17"/>
          <w:w w:val="101"/>
        </w:rPr>
        <w:t>员,获得"自治区技术能手"及以上人才表彰奖励的人员,连续2</w:t>
      </w:r>
      <w:r>
        <w:rPr>
          <w:rFonts w:ascii="FangSong" w:hAnsi="FangSong" w:eastAsia="FangSong" w:cs="FangSong"/>
          <w:sz w:val="31"/>
          <w:szCs w:val="31"/>
          <w:spacing w:val="20"/>
        </w:rPr>
        <w:t> </w:t>
      </w:r>
      <w:r>
        <w:rPr>
          <w:rFonts w:ascii="FangSong" w:hAnsi="FangSong" w:eastAsia="FangSong" w:cs="FangSong"/>
          <w:sz w:val="31"/>
          <w:szCs w:val="31"/>
          <w:spacing w:val="15"/>
        </w:rPr>
        <w:t>年申报未入选,且在2年内没有新的重大专业成果的人员不在此</w:t>
      </w:r>
      <w:r>
        <w:rPr>
          <w:rFonts w:ascii="FangSong" w:hAnsi="FangSong" w:eastAsia="FangSong" w:cs="FangSong"/>
          <w:sz w:val="31"/>
          <w:szCs w:val="31"/>
          <w:spacing w:val="23"/>
        </w:rPr>
        <w:t> </w:t>
      </w:r>
      <w:r>
        <w:rPr>
          <w:rFonts w:ascii="FangSong" w:hAnsi="FangSong" w:eastAsia="FangSong" w:cs="FangSong"/>
          <w:sz w:val="31"/>
          <w:szCs w:val="31"/>
          <w:spacing w:val="-2"/>
        </w:rPr>
        <w:t>次推荐范围之内。</w:t>
      </w:r>
    </w:p>
    <w:p>
      <w:pPr>
        <w:ind w:firstLine="800"/>
        <w:spacing w:before="1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w w:val="104"/>
        </w:rPr>
        <w:t>(四)提交材料2套,附目录清单申报人员资料一人一档,</w:t>
      </w:r>
      <w:r>
        <w:rPr>
          <w:rFonts w:ascii="FangSong" w:hAnsi="FangSong" w:eastAsia="FangSong" w:cs="FangSong"/>
          <w:sz w:val="31"/>
          <w:szCs w:val="31"/>
          <w:spacing w:val="20"/>
        </w:rPr>
        <w:t> </w:t>
      </w:r>
      <w:r>
        <w:rPr>
          <w:rFonts w:ascii="FangSong" w:hAnsi="FangSong" w:eastAsia="FangSong" w:cs="FangSong"/>
          <w:sz w:val="31"/>
          <w:szCs w:val="31"/>
          <w:spacing w:val="3"/>
        </w:rPr>
        <w:t>装入文件袋或档案袋(标明单位名称、申报人员姓名及联系电话、</w:t>
      </w:r>
      <w:r>
        <w:rPr>
          <w:rFonts w:ascii="FangSong" w:hAnsi="FangSong" w:eastAsia="FangSong" w:cs="FangSong"/>
          <w:sz w:val="31"/>
          <w:szCs w:val="31"/>
          <w:spacing w:val="22"/>
        </w:rPr>
        <w:t> </w:t>
      </w:r>
      <w:r>
        <w:rPr>
          <w:rFonts w:ascii="FangSong" w:hAnsi="FangSong" w:eastAsia="FangSong" w:cs="FangSong"/>
          <w:sz w:val="31"/>
          <w:szCs w:val="31"/>
          <w:spacing w:val="17"/>
          <w:w w:val="105"/>
        </w:rPr>
        <w:t>申报的人才项目).填报附件《业绩情况汇总表》(限填2017</w:t>
      </w:r>
      <w:r>
        <w:rPr>
          <w:rFonts w:ascii="FangSong" w:hAnsi="FangSong" w:eastAsia="FangSong" w:cs="FangSong"/>
          <w:sz w:val="31"/>
          <w:szCs w:val="31"/>
          <w:spacing w:val="7"/>
        </w:rPr>
        <w:t>  </w:t>
      </w:r>
      <w:r>
        <w:rPr>
          <w:rFonts w:ascii="FangSong" w:hAnsi="FangSong" w:eastAsia="FangSong" w:cs="FangSong"/>
          <w:sz w:val="31"/>
          <w:szCs w:val="31"/>
          <w:spacing w:val="11"/>
        </w:rPr>
        <w:t>年至今获得的业绩成果),佐证材料要与《申报表》内容相对应,</w:t>
      </w:r>
      <w:r>
        <w:rPr>
          <w:rFonts w:ascii="FangSong" w:hAnsi="FangSong" w:eastAsia="FangSong" w:cs="FangSong"/>
          <w:sz w:val="31"/>
          <w:szCs w:val="31"/>
          <w:spacing w:val="18"/>
        </w:rPr>
        <w:t> </w:t>
      </w:r>
      <w:r>
        <w:rPr>
          <w:rFonts w:ascii="FangSong" w:hAnsi="FangSong" w:eastAsia="FangSong" w:cs="FangSong"/>
          <w:sz w:val="31"/>
          <w:szCs w:val="31"/>
          <w:spacing w:val="10"/>
        </w:rPr>
        <w:t>主要包括身份证、学历证、学位证、专业技术资格证书,公开发</w:t>
      </w:r>
      <w:r>
        <w:rPr>
          <w:rFonts w:ascii="FangSong" w:hAnsi="FangSong" w:eastAsia="FangSong" w:cs="FangSong"/>
          <w:sz w:val="31"/>
          <w:szCs w:val="31"/>
          <w:spacing w:val="9"/>
        </w:rPr>
        <w:t> </w:t>
      </w:r>
      <w:r>
        <w:rPr>
          <w:rFonts w:ascii="FangSong" w:hAnsi="FangSong" w:eastAsia="FangSong" w:cs="FangSong"/>
          <w:sz w:val="31"/>
          <w:szCs w:val="31"/>
          <w:spacing w:val="16"/>
        </w:rPr>
        <w:t>表的论文及著作,被他人引用的论文、专著,技术鉴定证书及知</w:t>
      </w:r>
      <w:r>
        <w:rPr>
          <w:rFonts w:ascii="FangSong" w:hAnsi="FangSong" w:eastAsia="FangSong" w:cs="FangSong"/>
          <w:sz w:val="31"/>
          <w:szCs w:val="31"/>
          <w:spacing w:val="2"/>
        </w:rPr>
        <w:t> </w:t>
      </w:r>
      <w:r>
        <w:rPr>
          <w:rFonts w:ascii="FangSong" w:hAnsi="FangSong" w:eastAsia="FangSong" w:cs="FangSong"/>
          <w:sz w:val="31"/>
          <w:szCs w:val="31"/>
          <w:spacing w:val="15"/>
        </w:rPr>
        <w:t>识产权,技术应用,获得表彰奖励和其他业绩等证明材料。佐证</w:t>
      </w:r>
      <w:r>
        <w:rPr>
          <w:rFonts w:ascii="FangSong" w:hAnsi="FangSong" w:eastAsia="FangSong" w:cs="FangSong"/>
          <w:sz w:val="31"/>
          <w:szCs w:val="31"/>
          <w:spacing w:val="20"/>
        </w:rPr>
        <w:t> </w:t>
      </w:r>
      <w:r>
        <w:rPr>
          <w:rFonts w:ascii="FangSong" w:hAnsi="FangSong" w:eastAsia="FangSong" w:cs="FangSong"/>
          <w:sz w:val="31"/>
          <w:szCs w:val="31"/>
          <w:spacing w:val="16"/>
          <w:w w:val="102"/>
        </w:rPr>
        <w:t>材料应提供复印件并以图书样式统一装订成册(著作另附),同</w:t>
      </w:r>
      <w:r>
        <w:rPr>
          <w:rFonts w:ascii="FangSong" w:hAnsi="FangSong" w:eastAsia="FangSong" w:cs="FangSong"/>
          <w:sz w:val="31"/>
          <w:szCs w:val="31"/>
          <w:spacing w:val="15"/>
        </w:rPr>
        <w:t> </w:t>
      </w:r>
      <w:r>
        <w:rPr>
          <w:rFonts w:ascii="FangSong" w:hAnsi="FangSong" w:eastAsia="FangSong" w:cs="FangSong"/>
          <w:sz w:val="31"/>
          <w:szCs w:val="31"/>
          <w:spacing w:val="17"/>
          <w:w w:val="103"/>
        </w:rPr>
        <w:t>时提交PDF扫描版。</w:t>
      </w:r>
    </w:p>
    <w:p>
      <w:pPr>
        <w:ind w:right="90" w:firstLine="800"/>
        <w:spacing w:line="335" w:lineRule="auto"/>
        <w:rPr>
          <w:rFonts w:ascii="SimSun" w:hAnsi="SimSun" w:eastAsia="SimSun" w:cs="SimSu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(五)2022年青年托举人才推荐选拔通过线上(申报人员通</w:t>
      </w:r>
      <w:r>
        <w:rPr>
          <w:rFonts w:ascii="FangSong" w:hAnsi="FangSong" w:eastAsia="FangSong" w:cs="FangSong"/>
          <w:sz w:val="31"/>
          <w:szCs w:val="31"/>
          <w:spacing w:val="18"/>
        </w:rPr>
        <w:t> </w:t>
      </w:r>
      <w:r>
        <w:rPr>
          <w:rFonts w:ascii="FangSong" w:hAnsi="FangSong" w:eastAsia="FangSong" w:cs="FangSong"/>
          <w:sz w:val="31"/>
          <w:szCs w:val="31"/>
          <w:spacing w:val="12"/>
        </w:rPr>
        <w:t>过宁夏高层次人才工作网(htps:</w:t>
      </w:r>
      <w:r>
        <w:rPr>
          <w:rFonts w:ascii="FangSong" w:hAnsi="FangSong" w:eastAsia="FangSong" w:cs="FangSong"/>
          <w:sz w:val="31"/>
          <w:szCs w:val="31"/>
          <w:spacing w:val="102"/>
        </w:rPr>
        <w:t> 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/gccfw.hrss.nx.gov.cn)</w:t>
      </w:r>
      <w:r>
        <w:rPr>
          <w:rFonts w:ascii="SimSun" w:hAnsi="SimSun" w:eastAsia="SimSun" w:cs="SimSun"/>
          <w:sz w:val="31"/>
          <w:szCs w:val="31"/>
          <w:spacing w:val="12"/>
        </w:rPr>
        <w:t>进行实</w:t>
      </w: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before="101" w:line="18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─2─</w:t>
      </w:r>
    </w:p>
    <w:p>
      <w:pPr>
        <w:sectPr>
          <w:footerReference w:type="default" r:id="rId2"/>
          <w:pgSz w:w="11900" w:h="16830"/>
          <w:pgMar w:top="1430" w:right="1405" w:bottom="400" w:left="1549" w:header="0" w:footer="0" w:gutter="0"/>
        </w:sectPr>
        <w:rPr/>
      </w:pP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right="95"/>
        <w:spacing w:before="108" w:line="31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4"/>
        </w:rPr>
        <w:t>名注册,登陆"人才工程评选一青年人才托举"栏目,按要求如实</w:t>
      </w:r>
      <w:r>
        <w:rPr>
          <w:rFonts w:ascii="FangSong" w:hAnsi="FangSong" w:eastAsia="FangSong" w:cs="FangSong"/>
          <w:sz w:val="33"/>
          <w:szCs w:val="33"/>
          <w:spacing w:val="5"/>
        </w:rPr>
        <w:t> </w:t>
      </w:r>
      <w:r>
        <w:rPr>
          <w:rFonts w:ascii="FangSong" w:hAnsi="FangSong" w:eastAsia="FangSong" w:cs="FangSong"/>
          <w:sz w:val="33"/>
          <w:szCs w:val="33"/>
          <w:spacing w:val="-16"/>
        </w:rPr>
        <w:t>填写个人信息、上传佐证材料。网报材料和线下提交纸质版和电</w:t>
      </w:r>
      <w:r>
        <w:rPr>
          <w:rFonts w:ascii="FangSong" w:hAnsi="FangSong" w:eastAsia="FangSong" w:cs="FangSong"/>
          <w:sz w:val="33"/>
          <w:szCs w:val="33"/>
          <w:spacing w:val="1"/>
        </w:rPr>
        <w:t> </w:t>
      </w:r>
      <w:r>
        <w:rPr>
          <w:rFonts w:ascii="FangSong" w:hAnsi="FangSong" w:eastAsia="FangSong" w:cs="FangSong"/>
          <w:sz w:val="33"/>
          <w:szCs w:val="33"/>
          <w:spacing w:val="-17"/>
        </w:rPr>
        <w:t>子版材料需保持一致。</w:t>
      </w:r>
    </w:p>
    <w:p>
      <w:pPr>
        <w:ind w:firstLine="634"/>
        <w:spacing w:line="222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三、报送时间要求</w:t>
      </w:r>
    </w:p>
    <w:p>
      <w:pPr>
        <w:ind w:firstLine="629"/>
        <w:spacing w:before="183" w:line="31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8"/>
        </w:rPr>
        <w:t>请各有关市、县(区)产业主管部门于2022年4月28日(星</w:t>
      </w:r>
      <w:r>
        <w:rPr>
          <w:rFonts w:ascii="FangSong" w:hAnsi="FangSong" w:eastAsia="FangSong" w:cs="FangSong"/>
          <w:sz w:val="33"/>
          <w:szCs w:val="33"/>
          <w:spacing w:val="20"/>
        </w:rPr>
        <w:t> </w:t>
      </w:r>
      <w:r>
        <w:rPr>
          <w:rFonts w:ascii="FangSong" w:hAnsi="FangSong" w:eastAsia="FangSong" w:cs="FangSong"/>
          <w:sz w:val="33"/>
          <w:szCs w:val="33"/>
          <w:spacing w:val="7"/>
        </w:rPr>
        <w:t>期四)下午17:00前,将青年拔尖人才申报材料纸质版(含佐证</w:t>
      </w:r>
      <w:r>
        <w:rPr>
          <w:rFonts w:ascii="FangSong" w:hAnsi="FangSong" w:eastAsia="FangSong" w:cs="FangSong"/>
          <w:sz w:val="33"/>
          <w:szCs w:val="33"/>
          <w:spacing w:val="1"/>
        </w:rPr>
        <w:t> </w:t>
      </w:r>
      <w:r>
        <w:rPr>
          <w:rFonts w:ascii="FangSong" w:hAnsi="FangSong" w:eastAsia="FangSong" w:cs="FangSong"/>
          <w:sz w:val="33"/>
          <w:szCs w:val="33"/>
          <w:spacing w:val="-3"/>
        </w:rPr>
        <w:t>材料)一式三份报送至贺兰山东麓园区管委会技术服务处(1517</w:t>
      </w:r>
      <w:r>
        <w:rPr>
          <w:rFonts w:ascii="FangSong" w:hAnsi="FangSong" w:eastAsia="FangSong" w:cs="FangSong"/>
          <w:sz w:val="33"/>
          <w:szCs w:val="33"/>
        </w:rPr>
        <w:t> </w:t>
      </w:r>
      <w:r>
        <w:rPr>
          <w:rFonts w:ascii="FangSong" w:hAnsi="FangSong" w:eastAsia="FangSong" w:cs="FangSong"/>
          <w:sz w:val="33"/>
          <w:szCs w:val="33"/>
          <w:spacing w:val="-16"/>
          <w:w w:val="97"/>
        </w:rPr>
        <w:t>办公室),同时提供电子版。过期不再受理各单位报送的申报材料。</w:t>
      </w:r>
    </w:p>
    <w:p>
      <w:pPr>
        <w:ind w:firstLine="634"/>
        <w:spacing w:before="1" w:line="220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四、联系方式</w:t>
      </w:r>
    </w:p>
    <w:p>
      <w:pPr>
        <w:ind w:left="629" w:right="1545"/>
        <w:spacing w:before="197" w:line="314" w:lineRule="auto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4"/>
        </w:rPr>
        <w:t>联系人:</w:t>
      </w:r>
      <w:r>
        <w:rPr>
          <w:rFonts w:ascii="SimSun" w:hAnsi="SimSun" w:eastAsia="SimSun" w:cs="SimSun"/>
          <w:sz w:val="33"/>
          <w:szCs w:val="33"/>
          <w:spacing w:val="156"/>
        </w:rPr>
        <w:t> </w:t>
      </w:r>
      <w:r>
        <w:rPr>
          <w:rFonts w:ascii="SimSun" w:hAnsi="SimSun" w:eastAsia="SimSun" w:cs="SimSun"/>
          <w:sz w:val="33"/>
          <w:szCs w:val="33"/>
          <w:spacing w:val="4"/>
        </w:rPr>
        <w:t>刘子雨,0951-6366623,13723303077</w:t>
      </w:r>
      <w:r>
        <w:rPr>
          <w:rFonts w:ascii="SimSun" w:hAnsi="SimSun" w:eastAsia="SimSun" w:cs="SimSun"/>
          <w:sz w:val="33"/>
          <w:szCs w:val="33"/>
        </w:rPr>
        <w:t> </w:t>
      </w:r>
      <w:r>
        <w:rPr>
          <w:rFonts w:ascii="SimSun" w:hAnsi="SimSun" w:eastAsia="SimSun" w:cs="SimSun"/>
          <w:sz w:val="33"/>
          <w:szCs w:val="33"/>
          <w:spacing w:val="-5"/>
        </w:rPr>
        <w:t>邮</w:t>
      </w:r>
      <w:r>
        <w:rPr>
          <w:rFonts w:ascii="SimSun" w:hAnsi="SimSun" w:eastAsia="SimSun" w:cs="SimSun"/>
          <w:sz w:val="33"/>
          <w:szCs w:val="33"/>
          <w:spacing w:val="17"/>
        </w:rPr>
        <w:t> </w:t>
      </w:r>
      <w:r>
        <w:rPr>
          <w:rFonts w:ascii="SimSun" w:hAnsi="SimSun" w:eastAsia="SimSun" w:cs="SimSun"/>
          <w:sz w:val="33"/>
          <w:szCs w:val="33"/>
          <w:spacing w:val="-5"/>
        </w:rPr>
        <w:t>箱:</w:t>
      </w:r>
      <w:r>
        <w:rPr>
          <w:rFonts w:ascii="SimSun" w:hAnsi="SimSun" w:eastAsia="SimSun" w:cs="SimSun"/>
          <w:sz w:val="33"/>
          <w:szCs w:val="33"/>
          <w:spacing w:val="9"/>
        </w:rPr>
        <w:t>  </w:t>
      </w:r>
      <w:r>
        <w:rPr>
          <w:rFonts w:ascii="Times New Roman" w:hAnsi="Times New Roman" w:eastAsia="Times New Roman" w:cs="Times New Roman"/>
          <w:sz w:val="33"/>
          <w:szCs w:val="33"/>
          <w:spacing w:val="-5"/>
        </w:rPr>
        <w:t>nxptsc@163.com</w:t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629"/>
        <w:spacing w:before="108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6"/>
          <w:w w:val="99"/>
        </w:rPr>
        <w:t>附件:</w:t>
      </w:r>
      <w:r>
        <w:rPr>
          <w:rFonts w:ascii="FangSong" w:hAnsi="FangSong" w:eastAsia="FangSong" w:cs="FangSong"/>
          <w:sz w:val="33"/>
          <w:szCs w:val="33"/>
          <w:spacing w:val="132"/>
        </w:rPr>
        <w:t> </w:t>
      </w:r>
      <w:r>
        <w:rPr>
          <w:rFonts w:ascii="FangSong" w:hAnsi="FangSong" w:eastAsia="FangSong" w:cs="FangSong"/>
          <w:sz w:val="33"/>
          <w:szCs w:val="33"/>
          <w:spacing w:val="-16"/>
          <w:w w:val="99"/>
        </w:rPr>
        <w:t>1.自治区青年科技人才托举工程人选申报书</w:t>
      </w:r>
    </w:p>
    <w:p>
      <w:pPr>
        <w:ind w:left="1539" w:right="698"/>
        <w:spacing w:before="153" w:line="31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3"/>
        </w:rPr>
        <w:t>2.自治区青年科技人才托举工程人选基本情况表</w:t>
      </w:r>
      <w:r>
        <w:rPr>
          <w:rFonts w:ascii="FangSong" w:hAnsi="FangSong" w:eastAsia="FangSong" w:cs="FangSong"/>
          <w:sz w:val="33"/>
          <w:szCs w:val="33"/>
          <w:spacing w:val="12"/>
        </w:rPr>
        <w:t> </w:t>
      </w:r>
      <w:r>
        <w:rPr>
          <w:rFonts w:ascii="FangSong" w:hAnsi="FangSong" w:eastAsia="FangSong" w:cs="FangSong"/>
          <w:sz w:val="33"/>
          <w:szCs w:val="33"/>
          <w:spacing w:val="-14"/>
        </w:rPr>
        <w:t>3.自治区青年人才托举工程同行专家推荐表</w:t>
      </w:r>
      <w:r>
        <w:rPr>
          <w:rFonts w:ascii="FangSong" w:hAnsi="FangSong" w:eastAsia="FangSong" w:cs="FangSong"/>
          <w:sz w:val="33"/>
          <w:szCs w:val="33"/>
          <w:spacing w:val="3"/>
        </w:rPr>
        <w:t>     </w:t>
      </w:r>
      <w:r>
        <w:rPr>
          <w:rFonts w:ascii="FangSong" w:hAnsi="FangSong" w:eastAsia="FangSong" w:cs="FangSong"/>
          <w:sz w:val="33"/>
          <w:szCs w:val="33"/>
          <w:spacing w:val="-15"/>
        </w:rPr>
        <w:t>4.线上申报操作手册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4499" w:right="445" w:hanging="1449"/>
        <w:spacing w:before="107" w:line="307" w:lineRule="auto"/>
        <w:rPr>
          <w:rFonts w:ascii="FangSong" w:hAnsi="FangSong" w:eastAsia="FangSong" w:cs="FangSong"/>
          <w:sz w:val="33"/>
          <w:szCs w:val="33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2781320</wp:posOffset>
            </wp:positionH>
            <wp:positionV relativeFrom="paragraph">
              <wp:posOffset>-865858</wp:posOffset>
            </wp:positionV>
            <wp:extent cx="1676409" cy="1657347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76409" cy="165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3"/>
          <w:szCs w:val="33"/>
          <w:spacing w:val="-13"/>
        </w:rPr>
        <w:t>宁夏贺兰山紧麓葡萄酒产业园区管委会</w:t>
      </w:r>
      <w:r>
        <w:rPr>
          <w:rFonts w:ascii="FangSong" w:hAnsi="FangSong" w:eastAsia="FangSong" w:cs="FangSong"/>
          <w:sz w:val="33"/>
          <w:szCs w:val="33"/>
          <w:spacing w:val="10"/>
        </w:rPr>
        <w:t> </w:t>
      </w:r>
      <w:r>
        <w:rPr>
          <w:rFonts w:ascii="FangSong" w:hAnsi="FangSong" w:eastAsia="FangSong" w:cs="FangSong"/>
          <w:sz w:val="33"/>
          <w:szCs w:val="33"/>
          <w:spacing w:val="16"/>
        </w:rPr>
        <w:t>2022年车月20日</w:t>
      </w:r>
    </w:p>
    <w:p>
      <w:pPr>
        <w:ind w:firstLine="740"/>
        <w:spacing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2"/>
        </w:rPr>
        <w:t>(此件公开发布)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7820"/>
        <w:spacing w:before="108" w:line="185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5"/>
          <w:w w:val="92"/>
        </w:rPr>
        <w:t>──3─</w:t>
      </w:r>
    </w:p>
    <w:sectPr>
      <w:pgSz w:w="11900" w:h="16830"/>
      <w:pgMar w:top="1430" w:right="1434" w:bottom="400" w:left="1569" w:header="0" w:footer="0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869"/>
      <w:spacing w:line="227" w:lineRule="exact"/>
      <w:rPr>
        <w:rFonts w:ascii="FangSong" w:hAnsi="FangSong" w:eastAsia="FangSong" w:cs="FangSong"/>
        <w:sz w:val="33"/>
        <w:szCs w:val="33"/>
      </w:rPr>
    </w:pPr>
    <w:r>
      <w:rPr>
        <w:rFonts w:ascii="FangSong" w:hAnsi="FangSong" w:eastAsia="FangSong" w:cs="FangSong"/>
        <w:sz w:val="33"/>
        <w:szCs w:val="33"/>
        <w:position w:val="-4"/>
      </w:rPr>
      <w:t>─1─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1.png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6260a863331870001598edda</cp:keywords>
  <dcterms:created xsi:type="dcterms:W3CDTF">2022-04-21T08:42:20Z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2022-04-21T08:42:20</vt:filetime>
  </op:property>
</op:Properties>
</file>