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default" w:ascii="Times New Roman" w:hAnsi="Times New Roman" w:eastAsia="方正小标宋简体" w:cs="Times New Roman"/>
          <w:color w:val="FF0000"/>
          <w:w w:val="48"/>
          <w:sz w:val="94"/>
          <w:szCs w:val="94"/>
          <w:u w:val="none" w:color="auto"/>
        </w:rPr>
      </w:pPr>
      <w:r>
        <w:rPr>
          <w:rFonts w:hint="default" w:ascii="Times New Roman" w:hAnsi="Times New Roman" w:cs="Times New Roman"/>
          <w:w w:val="48"/>
          <w:sz w:val="94"/>
          <w:szCs w:val="94"/>
          <w:u w:val="none" w:color="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866140</wp:posOffset>
                </wp:positionV>
                <wp:extent cx="5561965" cy="43815"/>
                <wp:effectExtent l="0" t="12700" r="635" b="19685"/>
                <wp:wrapNone/>
                <wp:docPr id="4" name="组合 4"/>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3"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10"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4.4pt;margin-top:68.2pt;height:3.45pt;width:437.95pt;z-index:251659264;mso-width-relative:page;mso-height-relative:page;" coordsize="8759,69" o:gfxdata="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LgnLJXYAAAACQEAAA8AAAAAAAAAAQAgAAAAOAAAAGRycy9kb3ducmV2Lnht&#10;bFBLAQIUABQAAAAIAIdO4kDTZQOfjgIAADgHAAAOAAAAAAAAAAEAIAAAAD0BAABkcnMvZTJvRG9j&#10;LnhtbFBLBQYAAAAABgAGAFkBAAA9BgAAAAA=&#10;">
                <o:lock v:ext="edit" aspectratio="f"/>
                <v:line id="直接连接符 1" o:spid="_x0000_s1026" o:spt="20" style="position:absolute;left:3;top:0;height:1;width:8756;" filled="f" stroked="t" coordsize="21600,21600" o:gfxdata="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UDICr0AAADaAAAADwAAAAAAAAABACAAAAA4AAAAZHJzL2Rvd25yZXYu&#10;eG1sUEsBAhQAFAAAAAgAh07iQDMvBZ47AAAAOQAAABAAAAAAAAAAAQAgAAAAIgEAAGRycy9zaGFw&#10;ZXhtbC54bWxQSwUGAAAAAAYABgBbAQAAzAMAAAAA&#10;">
                  <v:fill on="f" focussize="0,0"/>
                  <v:stroke weight="2pt" color="#FF0000" joinstyle="round"/>
                  <v:imagedata o:title=""/>
                  <o:lock v:ext="edit" aspectratio="f"/>
                </v:line>
                <v:line id="直接连接符 2" o:spid="_x0000_s1026" o:spt="20" style="position:absolute;left:0;top:69;height:1;width:8756;" filled="f" stroked="t" coordsize="21600,21600" o:gfxdata="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b/ZNL0AAADbAAAADwAAAAAAAAABACAAAAA4AAAAZHJzL2Rvd25yZXYu&#10;eG1sUEsBAhQAFAAAAAgAh07iQDMvBZ47AAAAOQAAABAAAAAAAAAAAQAgAAAAIgEAAGRycy9zaGFw&#10;ZXhtbC54bWxQSwUGAAAAAAYABgBbAQAAzAMAAAAA&#10;">
                  <v:fill on="f" focussize="0,0"/>
                  <v:stroke color="#FF0000" joinstyle="round"/>
                  <v:imagedata o:title=""/>
                  <o:lock v:ext="edit" aspectratio="f"/>
                </v:line>
              </v:group>
            </w:pict>
          </mc:Fallback>
        </mc:AlternateContent>
      </w:r>
      <w:r>
        <w:rPr>
          <w:rFonts w:hint="default" w:ascii="Times New Roman" w:hAnsi="Times New Roman" w:eastAsia="方正小标宋简体" w:cs="Times New Roman"/>
          <w:color w:val="FF0000"/>
          <w:w w:val="48"/>
          <w:sz w:val="94"/>
          <w:szCs w:val="94"/>
          <w:u w:val="none" w:color="auto"/>
        </w:rPr>
        <w:t>宁夏贺兰山东麓葡萄</w:t>
      </w:r>
      <w:r>
        <w:rPr>
          <w:rFonts w:hint="default" w:ascii="Times New Roman" w:hAnsi="Times New Roman" w:eastAsia="方正小标宋简体" w:cs="Times New Roman"/>
          <w:color w:val="FF0000"/>
          <w:w w:val="48"/>
          <w:sz w:val="94"/>
          <w:szCs w:val="94"/>
          <w:u w:val="none" w:color="auto"/>
          <w:lang w:eastAsia="zh-CN"/>
        </w:rPr>
        <w:t>酒</w:t>
      </w:r>
      <w:r>
        <w:rPr>
          <w:rFonts w:hint="default" w:ascii="Times New Roman" w:hAnsi="Times New Roman" w:eastAsia="方正小标宋简体" w:cs="Times New Roman"/>
          <w:color w:val="FF0000"/>
          <w:w w:val="48"/>
          <w:sz w:val="94"/>
          <w:szCs w:val="94"/>
          <w:u w:val="none" w:color="auto"/>
        </w:rPr>
        <w:t>产业园区管理委员会</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jc w:val="both"/>
        <w:textAlignment w:val="auto"/>
        <w:rPr>
          <w:rFonts w:hint="default" w:ascii="Times New Roman" w:hAnsi="Times New Roman" w:eastAsia="方正小标宋_GBK" w:cs="Times New Roman"/>
          <w:b w:val="0"/>
          <w:bCs w:val="0"/>
          <w:color w:val="auto"/>
          <w:sz w:val="44"/>
          <w:szCs w:val="44"/>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after="0" w:afterLines="100" w:line="600" w:lineRule="exact"/>
        <w:ind w:left="0" w:firstLine="0" w:firstLineChars="0"/>
        <w:jc w:val="center"/>
        <w:textAlignment w:val="baseline"/>
        <w:outlineLvl w:val="9"/>
        <w:rPr>
          <w:rFonts w:ascii="Arial"/>
          <w:color w:val="auto"/>
          <w:sz w:val="21"/>
        </w:rPr>
      </w:pPr>
      <w:r>
        <w:rPr>
          <w:rFonts w:hint="eastAsia" w:ascii="方正小标宋_GBK" w:hAnsi="方正小标宋_GBK" w:eastAsia="方正小标宋_GBK" w:cs="方正小标宋_GBK"/>
          <w:b w:val="0"/>
          <w:bCs w:val="0"/>
          <w:color w:val="auto"/>
          <w:spacing w:val="-8"/>
          <w:sz w:val="44"/>
          <w:szCs w:val="44"/>
          <w:lang w:eastAsia="zh-CN"/>
        </w:rPr>
        <w:t>关于印发《</w:t>
      </w:r>
      <w:r>
        <w:rPr>
          <w:rFonts w:hint="eastAsia" w:ascii="Times New Roman" w:hAnsi="Times New Roman" w:eastAsia="方正小标宋简体" w:cs="Times New Roman"/>
          <w:color w:val="auto"/>
          <w:sz w:val="44"/>
          <w:szCs w:val="44"/>
          <w:lang w:val="en-US" w:eastAsia="zh-CN"/>
        </w:rPr>
        <w:t>宁夏葡萄及葡萄酒优势特色产业集群</w:t>
      </w:r>
      <w:r>
        <w:rPr>
          <w:rFonts w:hint="eastAsia" w:ascii="方正小标宋简体" w:hAnsi="方正小标宋简体" w:eastAsia="方正小标宋简体" w:cs="方正小标宋简体"/>
          <w:b w:val="0"/>
          <w:bCs w:val="0"/>
          <w:color w:val="auto"/>
          <w:spacing w:val="1"/>
          <w:sz w:val="44"/>
          <w:szCs w:val="44"/>
        </w:rPr>
        <w:t>项目管理</w:t>
      </w:r>
      <w:r>
        <w:rPr>
          <w:rFonts w:hint="eastAsia" w:ascii="方正小标宋简体" w:hAnsi="方正小标宋简体" w:eastAsia="方正小标宋简体" w:cs="方正小标宋简体"/>
          <w:b w:val="0"/>
          <w:bCs w:val="0"/>
          <w:color w:val="auto"/>
          <w:spacing w:val="1"/>
          <w:sz w:val="44"/>
          <w:szCs w:val="44"/>
          <w:lang w:eastAsia="zh-CN"/>
        </w:rPr>
        <w:t>细则</w:t>
      </w:r>
      <w:r>
        <w:rPr>
          <w:rFonts w:hint="eastAsia" w:ascii="方正小标宋_GBK" w:hAnsi="方正小标宋_GBK" w:eastAsia="方正小标宋_GBK" w:cs="方正小标宋_GBK"/>
          <w:b w:val="0"/>
          <w:bCs w:val="0"/>
          <w:color w:val="auto"/>
          <w:spacing w:val="-8"/>
          <w:sz w:val="44"/>
          <w:szCs w:val="44"/>
          <w:lang w:eastAsia="zh-CN"/>
        </w:rPr>
        <w:t>（试行）》的通知</w:t>
      </w: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仿宋_GB2312" w:cs="Times New Roman"/>
          <w:snapToGrid/>
          <w:color w:val="auto"/>
          <w:kern w:val="0"/>
          <w:sz w:val="32"/>
          <w:szCs w:val="32"/>
          <w:lang w:val="en-US" w:eastAsia="zh-CN" w:bidi="ar"/>
        </w:rPr>
        <w:t>各有关市、县（区）葡萄酒产业主管部门，管委会各处、所属企业：</w:t>
      </w:r>
      <w:bookmarkStart w:id="0" w:name="_GoBack"/>
      <w:bookmarkEnd w:id="0"/>
    </w:p>
    <w:p>
      <w:pPr>
        <w:pStyle w:val="5"/>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仿宋_GB2312" w:cs="Times New Roman"/>
          <w:snapToGrid/>
          <w:color w:val="auto"/>
          <w:kern w:val="0"/>
          <w:sz w:val="32"/>
          <w:szCs w:val="32"/>
          <w:lang w:val="en-US" w:eastAsia="zh-CN" w:bidi="ar"/>
        </w:rPr>
        <w:t>为规范和加强宁夏葡萄及葡萄酒优势特色产业集群项目建</w:t>
      </w:r>
      <w:r>
        <w:rPr>
          <w:rFonts w:hint="default" w:ascii="Times New Roman" w:hAnsi="Times New Roman" w:eastAsia="仿宋_GB2312" w:cs="Times New Roman"/>
          <w:color w:val="auto"/>
          <w:spacing w:val="0"/>
          <w:sz w:val="32"/>
          <w:szCs w:val="32"/>
        </w:rPr>
        <w:t>设管理，</w:t>
      </w:r>
      <w:r>
        <w:rPr>
          <w:rFonts w:hint="default" w:ascii="Times New Roman" w:hAnsi="Times New Roman" w:eastAsia="仿宋_GB2312" w:cs="Times New Roman"/>
          <w:snapToGrid/>
          <w:color w:val="auto"/>
          <w:kern w:val="0"/>
          <w:sz w:val="32"/>
          <w:szCs w:val="32"/>
          <w:lang w:val="en-US" w:eastAsia="zh-CN" w:bidi="ar"/>
        </w:rPr>
        <w:t>推动葡萄酒产业高质量发展，根据《农业农村部计划财务司关于印发&lt;农业农村部转移支付项目管理部内工作规程（试行）〉的通知》《关于印发《优势特色产业集群项目管理工作规程（试行）》的通知》（农产综函〔2025〕9号）有关规定，我委组织制定了《宁夏葡萄及葡萄酒优势特色产业集群项目管理细则（试行）》。现予以印发，请贯彻落实。</w:t>
      </w: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0" w:firstLineChars="200"/>
        <w:jc w:val="both"/>
        <w:textAlignment w:val="baseline"/>
        <w:outlineLvl w:val="9"/>
        <w:rPr>
          <w:rFonts w:hint="default" w:ascii="Times New Roman" w:hAnsi="Times New Roman" w:eastAsia="仿宋_GB2312" w:cs="Times New Roman"/>
          <w:snapToGrid/>
          <w:color w:val="auto"/>
          <w:kern w:val="0"/>
          <w:sz w:val="31"/>
          <w:szCs w:val="31"/>
          <w:lang w:val="en-US" w:eastAsia="zh-CN" w:bidi="ar"/>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pPr>
        <w:pStyle w:val="8"/>
        <w:keepNext w:val="0"/>
        <w:keepLines w:val="0"/>
        <w:pageBreakBefore w:val="0"/>
        <w:widowControl/>
        <w:kinsoku/>
        <w:wordWrap/>
        <w:overflowPunct/>
        <w:topLinePunct w:val="0"/>
        <w:autoSpaceDE/>
        <w:autoSpaceDN/>
        <w:bidi w:val="0"/>
        <w:adjustRightInd/>
        <w:snapToGrid/>
        <w:spacing w:line="560" w:lineRule="exact"/>
        <w:ind w:left="0" w:firstLine="2560" w:firstLineChars="800"/>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Times New Roman" w:hAnsi="Times New Roman" w:eastAsia="仿宋_GB2312" w:cs="Times New Roman"/>
          <w:color w:val="auto"/>
          <w:sz w:val="32"/>
          <w:szCs w:val="32"/>
          <w:lang w:val="en-US" w:eastAsia="zh-CN"/>
        </w:rPr>
        <w:t xml:space="preserve"> 宁夏贺兰山东麓葡萄酒</w:t>
      </w:r>
    </w:p>
    <w:p>
      <w:pPr>
        <w:pStyle w:val="8"/>
        <w:keepNext w:val="0"/>
        <w:keepLines w:val="0"/>
        <w:pageBreakBefore w:val="0"/>
        <w:widowControl/>
        <w:kinsoku/>
        <w:wordWrap/>
        <w:overflowPunct/>
        <w:topLinePunct w:val="0"/>
        <w:autoSpaceDE/>
        <w:autoSpaceDN/>
        <w:bidi w:val="0"/>
        <w:adjustRightInd/>
        <w:snapToGrid/>
        <w:spacing w:line="560" w:lineRule="exact"/>
        <w:ind w:left="0" w:firstLine="2560" w:firstLineChars="8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产业园区管理委员会</w:t>
      </w: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right="0" w:firstLine="5120" w:firstLineChars="1600"/>
        <w:jc w:val="both"/>
        <w:textAlignment w:val="baseline"/>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仿宋_GB2312" w:cs="Times New Roman"/>
          <w:snapToGrid/>
          <w:color w:val="auto"/>
          <w:kern w:val="0"/>
          <w:sz w:val="32"/>
          <w:szCs w:val="32"/>
          <w:lang w:val="en-US" w:eastAsia="zh-CN" w:bidi="ar"/>
        </w:rPr>
        <w:t>2025年8月8日</w:t>
      </w:r>
    </w:p>
    <w:p>
      <w:pPr>
        <w:pStyle w:val="15"/>
        <w:keepNext w:val="0"/>
        <w:keepLines w:val="0"/>
        <w:pageBreakBefore w:val="0"/>
        <w:widowControl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napToGrid/>
          <w:color w:val="auto"/>
          <w:kern w:val="0"/>
          <w:sz w:val="31"/>
          <w:szCs w:val="31"/>
          <w:lang w:val="en-US" w:eastAsia="zh-CN" w:bidi="ar"/>
        </w:rPr>
      </w:pPr>
      <w:r>
        <w:rPr>
          <w:rStyle w:val="13"/>
          <w:rFonts w:hint="eastAsia" w:ascii="Times New Roman" w:hAnsi="Times New Roman" w:cs="Times New Roman"/>
          <w:b w:val="0"/>
          <w:bCs w:val="0"/>
          <w:caps w:val="0"/>
          <w:color w:val="auto"/>
          <w:spacing w:val="0"/>
          <w:w w:val="100"/>
          <w:kern w:val="13"/>
          <w:sz w:val="32"/>
          <w:szCs w:val="32"/>
          <w:u w:val="none"/>
          <w:lang w:val="en-US" w:eastAsia="zh-CN" w:bidi="ar-SA"/>
        </w:rPr>
        <w:t>（此件公开发布）</w:t>
      </w: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left="0" w:firstLine="0" w:firstLineChars="0"/>
        <w:jc w:val="center"/>
        <w:textAlignment w:val="baseline"/>
        <w:outlineLvl w:val="9"/>
        <w:rPr>
          <w:rFonts w:hint="eastAsia" w:ascii="Times New Roman" w:hAnsi="Times New Roman" w:eastAsia="方正小标宋简体" w:cs="Times New Roman"/>
          <w:color w:val="auto"/>
          <w:sz w:val="44"/>
          <w:szCs w:val="44"/>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left="0" w:firstLine="0" w:firstLineChars="0"/>
        <w:jc w:val="center"/>
        <w:textAlignment w:val="baseline"/>
        <w:outlineLvl w:val="9"/>
        <w:rPr>
          <w:rFonts w:hint="eastAsia" w:ascii="方正小标宋简体" w:hAnsi="方正小标宋简体" w:eastAsia="方正小标宋简体" w:cs="方正小标宋简体"/>
          <w:b w:val="0"/>
          <w:bCs w:val="0"/>
          <w:color w:val="auto"/>
          <w:spacing w:val="1"/>
          <w:sz w:val="44"/>
          <w:szCs w:val="44"/>
        </w:rPr>
      </w:pPr>
      <w:r>
        <w:rPr>
          <w:rFonts w:hint="eastAsia" w:ascii="Times New Roman" w:hAnsi="Times New Roman" w:eastAsia="方正小标宋简体" w:cs="Times New Roman"/>
          <w:color w:val="auto"/>
          <w:sz w:val="44"/>
          <w:szCs w:val="44"/>
          <w:lang w:val="en-US" w:eastAsia="zh-CN"/>
        </w:rPr>
        <w:t>宁夏葡萄及葡萄酒优势特色产业集群</w:t>
      </w: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left="0" w:firstLine="0" w:firstLineChars="0"/>
        <w:jc w:val="center"/>
        <w:textAlignment w:val="baseline"/>
        <w:outlineLvl w:val="9"/>
        <w:rPr>
          <w:rFonts w:hint="eastAsia" w:ascii="方正小标宋简体" w:hAnsi="方正小标宋简体" w:eastAsia="方正小标宋简体" w:cs="方正小标宋简体"/>
          <w:b w:val="0"/>
          <w:bCs w:val="0"/>
          <w:color w:val="auto"/>
          <w:spacing w:val="1"/>
          <w:sz w:val="44"/>
          <w:szCs w:val="44"/>
          <w:lang w:eastAsia="zh-CN"/>
        </w:rPr>
      </w:pPr>
      <w:r>
        <w:rPr>
          <w:rFonts w:hint="eastAsia" w:ascii="方正小标宋简体" w:hAnsi="方正小标宋简体" w:eastAsia="方正小标宋简体" w:cs="方正小标宋简体"/>
          <w:b w:val="0"/>
          <w:bCs w:val="0"/>
          <w:color w:val="auto"/>
          <w:spacing w:val="1"/>
          <w:sz w:val="44"/>
          <w:szCs w:val="44"/>
        </w:rPr>
        <w:t>项目管理</w:t>
      </w:r>
      <w:r>
        <w:rPr>
          <w:rFonts w:hint="eastAsia" w:ascii="方正小标宋简体" w:hAnsi="方正小标宋简体" w:eastAsia="方正小标宋简体" w:cs="方正小标宋简体"/>
          <w:b w:val="0"/>
          <w:bCs w:val="0"/>
          <w:color w:val="auto"/>
          <w:spacing w:val="1"/>
          <w:sz w:val="44"/>
          <w:szCs w:val="44"/>
          <w:lang w:eastAsia="zh-CN"/>
        </w:rPr>
        <w:t>细则</w:t>
      </w: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left="0" w:firstLine="0" w:firstLineChars="0"/>
        <w:jc w:val="center"/>
        <w:textAlignment w:val="baseline"/>
        <w:outlineLvl w:val="9"/>
        <w:rPr>
          <w:rFonts w:ascii="楷体" w:hAnsi="楷体" w:eastAsia="楷体" w:cs="楷体"/>
          <w:color w:val="auto"/>
          <w:spacing w:val="32"/>
          <w:sz w:val="29"/>
          <w:szCs w:val="29"/>
        </w:rPr>
      </w:pPr>
      <w:r>
        <w:rPr>
          <w:rFonts w:hint="eastAsia" w:ascii="楷体_GB2312" w:hAnsi="楷体_GB2312" w:eastAsia="楷体_GB2312" w:cs="楷体_GB2312"/>
          <w:b/>
          <w:bCs/>
          <w:sz w:val="32"/>
          <w:szCs w:val="32"/>
          <w:lang w:val="en-US" w:eastAsia="zh-CN"/>
        </w:rPr>
        <w:t>（试行）</w:t>
      </w:r>
    </w:p>
    <w:p>
      <w:pPr>
        <w:pStyle w:val="5"/>
        <w:keepNext w:val="0"/>
        <w:keepLines w:val="0"/>
        <w:pageBreakBefore w:val="0"/>
        <w:widowControl/>
        <w:kinsoku/>
        <w:wordWrap/>
        <w:overflowPunct/>
        <w:topLinePunct w:val="0"/>
        <w:autoSpaceDE w:val="0"/>
        <w:autoSpaceDN w:val="0"/>
        <w:bidi w:val="0"/>
        <w:adjustRightInd w:val="0"/>
        <w:snapToGrid w:val="0"/>
        <w:spacing w:line="560" w:lineRule="exact"/>
        <w:ind w:left="0" w:firstLine="0" w:firstLineChars="0"/>
        <w:jc w:val="center"/>
        <w:textAlignment w:val="baseline"/>
        <w:outlineLvl w:val="9"/>
        <w:rPr>
          <w:rFonts w:ascii="楷体" w:hAnsi="楷体" w:eastAsia="楷体" w:cs="楷体"/>
          <w:color w:val="auto"/>
          <w:spacing w:val="32"/>
          <w:sz w:val="29"/>
          <w:szCs w:val="29"/>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eastAsia" w:ascii="仿宋_GB2312" w:hAnsi="仿宋_GB2312" w:eastAsia="仿宋_GB2312" w:cs="仿宋_GB2312"/>
          <w:b/>
          <w:bCs/>
          <w:color w:val="auto"/>
          <w:spacing w:val="0"/>
          <w:sz w:val="32"/>
          <w:szCs w:val="32"/>
        </w:rPr>
      </w:pPr>
      <w:r>
        <w:rPr>
          <w:rFonts w:hint="eastAsia" w:ascii="黑体" w:hAnsi="黑体" w:eastAsia="黑体" w:cs="黑体"/>
          <w:b w:val="0"/>
          <w:bCs w:val="0"/>
          <w:color w:val="auto"/>
          <w:spacing w:val="0"/>
          <w:sz w:val="32"/>
          <w:szCs w:val="32"/>
        </w:rPr>
        <w:t>第一章</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总</w:t>
      </w:r>
      <w:r>
        <w:rPr>
          <w:rFonts w:hint="eastAsia" w:ascii="黑体" w:hAnsi="黑体" w:eastAsia="黑体" w:cs="黑体"/>
          <w:b w:val="0"/>
          <w:bCs w:val="0"/>
          <w:color w:val="auto"/>
          <w:spacing w:val="0"/>
          <w:sz w:val="32"/>
          <w:szCs w:val="32"/>
          <w:lang w:val="en-US" w:eastAsia="zh-CN"/>
        </w:rPr>
        <w:t xml:space="preserve"> </w:t>
      </w:r>
      <w:r>
        <w:rPr>
          <w:rFonts w:hint="eastAsia" w:ascii="黑体" w:hAnsi="黑体" w:eastAsia="黑体" w:cs="黑体"/>
          <w:b w:val="0"/>
          <w:bCs w:val="0"/>
          <w:color w:val="auto"/>
          <w:spacing w:val="0"/>
          <w:sz w:val="32"/>
          <w:szCs w:val="32"/>
        </w:rPr>
        <w:t>则</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b/>
          <w:bCs/>
          <w:color w:val="auto"/>
          <w:spacing w:val="0"/>
          <w:sz w:val="32"/>
          <w:szCs w:val="32"/>
        </w:rPr>
      </w:pPr>
      <w:r>
        <w:rPr>
          <w:rFonts w:hint="default" w:ascii="Times New Roman" w:hAnsi="Times New Roman" w:eastAsia="仿宋_GB2312" w:cs="Times New Roman"/>
          <w:b/>
          <w:bCs/>
          <w:color w:val="auto"/>
          <w:spacing w:val="0"/>
          <w:sz w:val="32"/>
          <w:szCs w:val="32"/>
        </w:rPr>
        <w:t>第一条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snapToGrid/>
          <w:color w:val="auto"/>
          <w:kern w:val="0"/>
          <w:sz w:val="31"/>
          <w:szCs w:val="31"/>
          <w:lang w:val="en-US" w:eastAsia="zh-CN" w:bidi="ar"/>
        </w:rPr>
        <w:t>为规范和加强宁夏葡萄及葡萄酒优势特色产业集群项目（以下简称“集群项目”）建</w:t>
      </w:r>
      <w:r>
        <w:rPr>
          <w:rFonts w:hint="default" w:ascii="Times New Roman" w:hAnsi="Times New Roman" w:eastAsia="仿宋_GB2312" w:cs="Times New Roman"/>
          <w:color w:val="auto"/>
          <w:spacing w:val="0"/>
          <w:sz w:val="32"/>
          <w:szCs w:val="32"/>
        </w:rPr>
        <w:t>设管理，</w:t>
      </w:r>
      <w:r>
        <w:rPr>
          <w:rFonts w:hint="default" w:ascii="Times New Roman" w:hAnsi="Times New Roman" w:eastAsia="仿宋_GB2312" w:cs="Times New Roman"/>
          <w:snapToGrid/>
          <w:color w:val="auto"/>
          <w:kern w:val="0"/>
          <w:sz w:val="31"/>
          <w:szCs w:val="31"/>
          <w:lang w:val="en-US" w:eastAsia="zh-CN" w:bidi="ar"/>
        </w:rPr>
        <w:t>提升项目实施效能，确保财政资金安全高效使用，推动宁夏葡萄酒产业高质量发展，依据国家及自治区关于产业集群建设、财政资金管理等相关法律法规和政策文件，特制定本细则</w:t>
      </w:r>
      <w:r>
        <w:rPr>
          <w:rFonts w:hint="default" w:ascii="Times New Roman" w:hAnsi="Times New Roman" w:eastAsia="仿宋_GB2312" w:cs="Times New Roman"/>
          <w:color w:val="auto"/>
          <w:spacing w:val="0"/>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b/>
          <w:bCs/>
          <w:color w:val="auto"/>
          <w:spacing w:val="0"/>
          <w:sz w:val="32"/>
          <w:szCs w:val="32"/>
        </w:rPr>
      </w:pPr>
      <w:r>
        <w:rPr>
          <w:rFonts w:hint="default" w:ascii="Times New Roman" w:hAnsi="Times New Roman" w:eastAsia="仿宋_GB2312" w:cs="Times New Roman"/>
          <w:b/>
          <w:bCs/>
          <w:color w:val="auto"/>
          <w:spacing w:val="0"/>
          <w:sz w:val="32"/>
          <w:szCs w:val="32"/>
        </w:rPr>
        <w:t>第二条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本细则适用</w:t>
      </w:r>
      <w:r>
        <w:rPr>
          <w:rFonts w:hint="default" w:ascii="Times New Roman" w:hAnsi="Times New Roman" w:eastAsia="仿宋_GB2312" w:cs="Times New Roman"/>
          <w:color w:val="auto"/>
          <w:spacing w:val="0"/>
          <w:sz w:val="32"/>
          <w:szCs w:val="32"/>
          <w:lang w:eastAsia="zh-CN"/>
        </w:rPr>
        <w:t>宁夏贺兰山东麓葡萄酒产区内</w:t>
      </w:r>
      <w:r>
        <w:rPr>
          <w:rFonts w:hint="default" w:ascii="Times New Roman" w:hAnsi="Times New Roman" w:eastAsia="仿宋_GB2312" w:cs="Times New Roman"/>
          <w:color w:val="auto"/>
          <w:spacing w:val="0"/>
          <w:sz w:val="32"/>
          <w:szCs w:val="32"/>
        </w:rPr>
        <w:t>获得中央财政专项资金支持的葡萄酒产业集群项目，包括但不限于基地标准化建设、酒庄（企业）加工能力提升、科技创新与成果转化、品牌培育与市场推广、公共服务平台建设等子项目。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第三条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各级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应按照职责分工，会同</w:t>
      </w:r>
      <w:r>
        <w:rPr>
          <w:rFonts w:hint="default" w:ascii="Times New Roman" w:hAnsi="Times New Roman" w:eastAsia="仿宋_GB2312" w:cs="Times New Roman"/>
          <w:color w:val="auto"/>
          <w:spacing w:val="0"/>
          <w:sz w:val="32"/>
          <w:szCs w:val="32"/>
          <w:lang w:eastAsia="zh-CN"/>
        </w:rPr>
        <w:t>农业农村、</w:t>
      </w:r>
      <w:r>
        <w:rPr>
          <w:rFonts w:hint="default" w:ascii="Times New Roman" w:hAnsi="Times New Roman" w:eastAsia="仿宋_GB2312" w:cs="Times New Roman"/>
          <w:color w:val="auto"/>
          <w:spacing w:val="0"/>
          <w:sz w:val="32"/>
          <w:szCs w:val="32"/>
        </w:rPr>
        <w:t>财政部门做好集群项目全链条管理工作。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w:t>
      </w:r>
      <w:r>
        <w:rPr>
          <w:rFonts w:hint="default" w:ascii="Times New Roman" w:hAnsi="Times New Roman" w:eastAsia="仿宋_GB2312" w:cs="Times New Roman"/>
          <w:color w:val="auto"/>
          <w:spacing w:val="0"/>
          <w:sz w:val="32"/>
          <w:szCs w:val="32"/>
        </w:rPr>
        <w:t>部门会同</w:t>
      </w:r>
      <w:r>
        <w:rPr>
          <w:rFonts w:hint="default" w:ascii="Times New Roman" w:hAnsi="Times New Roman" w:eastAsia="仿宋_GB2312" w:cs="Times New Roman"/>
          <w:color w:val="auto"/>
          <w:spacing w:val="0"/>
          <w:sz w:val="32"/>
          <w:szCs w:val="32"/>
          <w:lang w:eastAsia="zh-CN"/>
        </w:rPr>
        <w:t>农业农村、</w:t>
      </w:r>
      <w:r>
        <w:rPr>
          <w:rFonts w:hint="default" w:ascii="Times New Roman" w:hAnsi="Times New Roman" w:eastAsia="仿宋_GB2312" w:cs="Times New Roman"/>
          <w:color w:val="auto"/>
          <w:spacing w:val="0"/>
          <w:sz w:val="32"/>
          <w:szCs w:val="32"/>
        </w:rPr>
        <w:t>财政部门负责集群项目的统筹谋划、遴选申报、组织实施、督促指导、绩效自评、总结验收等工作。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地市级</w:t>
      </w:r>
      <w:r>
        <w:rPr>
          <w:rFonts w:hint="default" w:ascii="Times New Roman" w:hAnsi="Times New Roman" w:eastAsia="仿宋_GB2312" w:cs="Times New Roman"/>
          <w:color w:val="auto"/>
          <w:spacing w:val="0"/>
          <w:sz w:val="32"/>
          <w:szCs w:val="32"/>
          <w:lang w:eastAsia="zh-CN"/>
        </w:rPr>
        <w:t>葡萄酒产业主管</w:t>
      </w:r>
      <w:r>
        <w:rPr>
          <w:rFonts w:hint="default" w:ascii="Times New Roman" w:hAnsi="Times New Roman" w:eastAsia="仿宋_GB2312" w:cs="Times New Roman"/>
          <w:color w:val="auto"/>
          <w:spacing w:val="0"/>
          <w:sz w:val="32"/>
          <w:szCs w:val="32"/>
        </w:rPr>
        <w:t>部门会同财政部门负责本地区县级项目的遴选确定、组织实施、业务指导、督促检查等工作。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县</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市、区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w:t>
      </w:r>
      <w:r>
        <w:rPr>
          <w:rFonts w:hint="default" w:ascii="Times New Roman" w:hAnsi="Times New Roman" w:eastAsia="仿宋_GB2312" w:cs="Times New Roman"/>
          <w:color w:val="auto"/>
          <w:spacing w:val="0"/>
          <w:sz w:val="32"/>
          <w:szCs w:val="32"/>
        </w:rPr>
        <w:t>部门会同财政部门负责具体建设项目的推进实施、日常管理等工作。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default" w:ascii="Times New Roman" w:hAnsi="Times New Roman" w:eastAsia="黑体" w:cs="Times New Roman"/>
          <w:b w:val="0"/>
          <w:bCs w:val="0"/>
          <w:color w:val="auto"/>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default" w:ascii="Times New Roman" w:hAnsi="Times New Roman" w:eastAsia="仿宋_GB2312" w:cs="Times New Roman"/>
          <w:b/>
          <w:bCs/>
          <w:color w:val="auto"/>
          <w:spacing w:val="0"/>
          <w:sz w:val="32"/>
          <w:szCs w:val="32"/>
        </w:rPr>
      </w:pPr>
      <w:r>
        <w:rPr>
          <w:rFonts w:hint="default" w:ascii="Times New Roman" w:hAnsi="Times New Roman" w:eastAsia="黑体" w:cs="Times New Roman"/>
          <w:b w:val="0"/>
          <w:bCs w:val="0"/>
          <w:color w:val="auto"/>
          <w:spacing w:val="0"/>
          <w:sz w:val="32"/>
          <w:szCs w:val="32"/>
        </w:rPr>
        <w:t>第二章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申报管理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b/>
          <w:bCs/>
          <w:color w:val="auto"/>
          <w:spacing w:val="0"/>
          <w:sz w:val="32"/>
          <w:szCs w:val="32"/>
        </w:rPr>
      </w:pPr>
      <w:r>
        <w:rPr>
          <w:rFonts w:hint="default" w:ascii="Times New Roman" w:hAnsi="Times New Roman" w:eastAsia="仿宋_GB2312" w:cs="Times New Roman"/>
          <w:b/>
          <w:bCs/>
          <w:color w:val="auto"/>
          <w:spacing w:val="0"/>
          <w:sz w:val="32"/>
          <w:szCs w:val="32"/>
        </w:rPr>
        <w:t>第四条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自治区级葡萄酒产业主管部门根据农业农村部集群项目申报指南，组织产区进行申报。</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第五条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申报集群项目应具备以下条件。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（一）</w:t>
      </w:r>
      <w:r>
        <w:rPr>
          <w:rFonts w:hint="default" w:ascii="Times New Roman" w:hAnsi="Times New Roman" w:eastAsia="仿宋_GB2312" w:cs="Times New Roman"/>
          <w:b/>
          <w:bCs/>
          <w:color w:val="auto"/>
          <w:spacing w:val="0"/>
          <w:sz w:val="32"/>
          <w:szCs w:val="32"/>
        </w:rPr>
        <w:t>产业优势突出。</w:t>
      </w:r>
      <w:r>
        <w:rPr>
          <w:rFonts w:hint="default" w:ascii="Times New Roman" w:hAnsi="Times New Roman" w:eastAsia="仿宋_GB2312" w:cs="Times New Roman"/>
          <w:color w:val="auto"/>
          <w:spacing w:val="0"/>
          <w:sz w:val="32"/>
          <w:szCs w:val="32"/>
        </w:rPr>
        <w:t>申报产业应聚焦</w:t>
      </w:r>
      <w:r>
        <w:rPr>
          <w:rFonts w:hint="default" w:ascii="Times New Roman" w:hAnsi="Times New Roman" w:eastAsia="仿宋_GB2312" w:cs="Times New Roman"/>
          <w:color w:val="auto"/>
          <w:spacing w:val="0"/>
          <w:sz w:val="32"/>
          <w:szCs w:val="32"/>
          <w:lang w:eastAsia="zh-CN"/>
        </w:rPr>
        <w:t>葡萄及葡萄酒产业，</w:t>
      </w:r>
      <w:r>
        <w:rPr>
          <w:rFonts w:hint="default" w:ascii="Times New Roman" w:hAnsi="Times New Roman" w:eastAsia="仿宋_GB2312" w:cs="Times New Roman"/>
          <w:color w:val="auto"/>
          <w:spacing w:val="0"/>
          <w:sz w:val="32"/>
          <w:szCs w:val="32"/>
        </w:rPr>
        <w:t>优势明显，全产业链产值较高。</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（二）</w:t>
      </w:r>
      <w:r>
        <w:rPr>
          <w:rFonts w:hint="default" w:ascii="Times New Roman" w:hAnsi="Times New Roman" w:eastAsia="仿宋_GB2312" w:cs="Times New Roman"/>
          <w:b/>
          <w:bCs/>
          <w:color w:val="auto"/>
          <w:spacing w:val="0"/>
          <w:sz w:val="32"/>
          <w:szCs w:val="32"/>
        </w:rPr>
        <w:t>项目布局合理。</w:t>
      </w:r>
      <w:r>
        <w:rPr>
          <w:rFonts w:hint="default" w:ascii="Times New Roman" w:hAnsi="Times New Roman" w:eastAsia="仿宋_GB2312" w:cs="Times New Roman"/>
          <w:color w:val="auto"/>
          <w:spacing w:val="0"/>
          <w:sz w:val="32"/>
          <w:szCs w:val="32"/>
        </w:rPr>
        <w:t>项目布局区域不宜分散，产业集群区域布局不超过2个地级市，有条件的可集中1个地级市布局申报。原则上覆盖县域数量不超过5个。项目县之间应实现产业链上的功能互补、分工明确。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（三）</w:t>
      </w:r>
      <w:r>
        <w:rPr>
          <w:rFonts w:hint="default" w:ascii="Times New Roman" w:hAnsi="Times New Roman" w:eastAsia="仿宋_GB2312" w:cs="Times New Roman"/>
          <w:b/>
          <w:bCs/>
          <w:color w:val="auto"/>
          <w:spacing w:val="0"/>
          <w:sz w:val="32"/>
          <w:szCs w:val="32"/>
        </w:rPr>
        <w:t>政策支持有力。</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层面已将申报产业纳入</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级规划或制定相关指导文件。项目地级市和项目县对申报产业有完善的发展规划，已制定支持申报产业发展的配套政策。</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级和地级市层面均建立相应的工作推进机制。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（四）</w:t>
      </w:r>
      <w:r>
        <w:rPr>
          <w:rFonts w:hint="default" w:ascii="Times New Roman" w:hAnsi="Times New Roman" w:eastAsia="仿宋_GB2312" w:cs="Times New Roman"/>
          <w:b/>
          <w:bCs/>
          <w:color w:val="auto"/>
          <w:spacing w:val="0"/>
          <w:sz w:val="32"/>
          <w:szCs w:val="32"/>
        </w:rPr>
        <w:t>主体发展活跃。</w:t>
      </w:r>
      <w:r>
        <w:rPr>
          <w:rFonts w:hint="default" w:ascii="Times New Roman" w:hAnsi="Times New Roman" w:eastAsia="仿宋_GB2312" w:cs="Times New Roman"/>
          <w:color w:val="auto"/>
          <w:spacing w:val="0"/>
          <w:sz w:val="32"/>
          <w:szCs w:val="32"/>
        </w:rPr>
        <w:t>项目区域内至少有1家农业产业化国家级重点龙头企业或3家农业产业化省级龙头企业。企业、农民合作社、家庭农场、社会化服务组织等市场主体类型丰富、数量较多，组织化程度高，产加销衔接紧密。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（五）</w:t>
      </w:r>
      <w:r>
        <w:rPr>
          <w:rFonts w:hint="default" w:ascii="Times New Roman" w:hAnsi="Times New Roman" w:eastAsia="仿宋_GB2312" w:cs="Times New Roman"/>
          <w:b/>
          <w:bCs/>
          <w:color w:val="auto"/>
          <w:spacing w:val="0"/>
          <w:sz w:val="32"/>
          <w:szCs w:val="32"/>
        </w:rPr>
        <w:t>产业深度融合。</w:t>
      </w:r>
      <w:r>
        <w:rPr>
          <w:rFonts w:hint="default" w:ascii="Times New Roman" w:hAnsi="Times New Roman" w:eastAsia="仿宋_GB2312" w:cs="Times New Roman"/>
          <w:color w:val="auto"/>
          <w:spacing w:val="0"/>
          <w:sz w:val="32"/>
          <w:szCs w:val="32"/>
        </w:rPr>
        <w:t>已建成完善的生产基地和加工物流设施，科技支撑能力较强，公共服务体系完备，品牌影响力较大，一二三产业深度融合，形成较为完善的产业链条。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（六）</w:t>
      </w:r>
      <w:r>
        <w:rPr>
          <w:rFonts w:hint="default" w:ascii="Times New Roman" w:hAnsi="Times New Roman" w:eastAsia="仿宋_GB2312" w:cs="Times New Roman"/>
          <w:b/>
          <w:bCs/>
          <w:color w:val="auto"/>
          <w:spacing w:val="0"/>
          <w:sz w:val="32"/>
          <w:szCs w:val="32"/>
        </w:rPr>
        <w:t>联农带农明显。</w:t>
      </w:r>
      <w:r>
        <w:rPr>
          <w:rFonts w:hint="default" w:ascii="Times New Roman" w:hAnsi="Times New Roman" w:eastAsia="仿宋_GB2312" w:cs="Times New Roman"/>
          <w:color w:val="auto"/>
          <w:spacing w:val="0"/>
          <w:sz w:val="32"/>
          <w:szCs w:val="32"/>
        </w:rPr>
        <w:t>经营主体通过订单生产、入股分红、带动就业等多种形式，与农民建立较为紧密的利益联结机制。建设区域农民人均可支配收入较高。</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六</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葡萄酒产业主管部门会同</w:t>
      </w:r>
      <w:r>
        <w:rPr>
          <w:rFonts w:hint="default" w:ascii="Times New Roman" w:hAnsi="Times New Roman" w:eastAsia="仿宋_GB2312" w:cs="Times New Roman"/>
          <w:color w:val="auto"/>
          <w:spacing w:val="0"/>
          <w:sz w:val="32"/>
          <w:szCs w:val="32"/>
        </w:rPr>
        <w:t>农业农村部门根据年度申报要求，编制建设方案，组织专家论证，并结合相关审计报告、舆情风险等问题，会同财政部门开展政策性合规性评估。申报材料经集体研究，并商</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级财政部门同意，报</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人民政府批准后报农业农村部、财政部。</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七</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建设方案应包括总体建设方案和前2年建设方案两个部分。总体建设方案应包括申报产业基本情况、思路目标、区域布局、建设内容、联农带农、资金筹措和组织实施等。前2年建设方案包括项目内容、建设主体、资金来源、中央财政奖补资金分配和联农带农等内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八</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葡萄酒产业主管部门会同</w:t>
      </w:r>
      <w:r>
        <w:rPr>
          <w:rFonts w:hint="default" w:ascii="Times New Roman" w:hAnsi="Times New Roman" w:eastAsia="仿宋_GB2312" w:cs="Times New Roman"/>
          <w:color w:val="auto"/>
          <w:spacing w:val="0"/>
          <w:sz w:val="32"/>
          <w:szCs w:val="32"/>
        </w:rPr>
        <w:t>农业农村部门</w:t>
      </w:r>
      <w:r>
        <w:rPr>
          <w:rFonts w:hint="default" w:ascii="Times New Roman" w:hAnsi="Times New Roman" w:eastAsia="仿宋_GB2312" w:cs="Times New Roman"/>
          <w:color w:val="auto"/>
          <w:spacing w:val="0"/>
          <w:sz w:val="32"/>
          <w:szCs w:val="32"/>
          <w:lang w:eastAsia="zh-CN"/>
        </w:rPr>
        <w:t>根据农业农村部反馈的评审意见</w:t>
      </w:r>
      <w:r>
        <w:rPr>
          <w:rFonts w:hint="default" w:ascii="Times New Roman" w:hAnsi="Times New Roman" w:eastAsia="仿宋_GB2312" w:cs="Times New Roman"/>
          <w:color w:val="auto"/>
          <w:spacing w:val="0"/>
          <w:sz w:val="32"/>
          <w:szCs w:val="32"/>
        </w:rPr>
        <w:t>组织</w:t>
      </w:r>
      <w:r>
        <w:rPr>
          <w:rFonts w:hint="default" w:ascii="Times New Roman" w:hAnsi="Times New Roman" w:eastAsia="仿宋_GB2312" w:cs="Times New Roman"/>
          <w:color w:val="auto"/>
          <w:spacing w:val="0"/>
          <w:sz w:val="32"/>
          <w:szCs w:val="32"/>
          <w:lang w:eastAsia="zh-CN"/>
        </w:rPr>
        <w:t>项目市、县（区）</w:t>
      </w:r>
      <w:r>
        <w:rPr>
          <w:rFonts w:hint="default" w:ascii="Times New Roman" w:hAnsi="Times New Roman" w:eastAsia="仿宋_GB2312" w:cs="Times New Roman"/>
          <w:color w:val="auto"/>
          <w:spacing w:val="0"/>
          <w:sz w:val="32"/>
          <w:szCs w:val="32"/>
        </w:rPr>
        <w:t>修改完善建设方案，并在</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级、地市级和县级</w:t>
      </w:r>
      <w:r>
        <w:rPr>
          <w:rFonts w:hint="default" w:ascii="Times New Roman" w:hAnsi="Times New Roman" w:eastAsia="仿宋_GB2312" w:cs="Times New Roman"/>
          <w:color w:val="auto"/>
          <w:spacing w:val="0"/>
          <w:sz w:val="32"/>
          <w:szCs w:val="32"/>
          <w:lang w:eastAsia="zh-CN"/>
        </w:rPr>
        <w:t>葡萄酒产业主管部门或</w:t>
      </w:r>
      <w:r>
        <w:rPr>
          <w:rFonts w:hint="default" w:ascii="Times New Roman" w:hAnsi="Times New Roman" w:eastAsia="仿宋_GB2312" w:cs="Times New Roman"/>
          <w:color w:val="auto"/>
          <w:spacing w:val="0"/>
          <w:sz w:val="32"/>
          <w:szCs w:val="32"/>
        </w:rPr>
        <w:t>农业农村部门官网公示中央财政奖补资金支持项目的建设主体、建设内容和资金分配等事项，接受社会监督。公示无异议后，将建设方案按要求报送农业农村部、财政部备案。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葡萄酒产业主管部门会同</w:t>
      </w:r>
      <w:r>
        <w:rPr>
          <w:rFonts w:hint="default" w:ascii="Times New Roman" w:hAnsi="Times New Roman" w:eastAsia="仿宋_GB2312" w:cs="Times New Roman"/>
          <w:color w:val="auto"/>
          <w:spacing w:val="0"/>
          <w:sz w:val="32"/>
          <w:szCs w:val="32"/>
        </w:rPr>
        <w:t>农业农村部门组织市县级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根据备案后的建设方案编制县级建设方案。县级建设方案由地级市</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审核、</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葡萄酒产业主管部门和</w:t>
      </w:r>
      <w:r>
        <w:rPr>
          <w:rFonts w:hint="default" w:ascii="Times New Roman" w:hAnsi="Times New Roman" w:eastAsia="仿宋_GB2312" w:cs="Times New Roman"/>
          <w:color w:val="auto"/>
          <w:spacing w:val="0"/>
          <w:sz w:val="32"/>
          <w:szCs w:val="32"/>
        </w:rPr>
        <w:t>农业农村部门批复后实施。</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由</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级支撑单位实施的项目，支撑单位应编制建设方案，由</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农业农村部门审核批复。由地级市支撑单位实施的项目，支撑单位编制建设方案后，由地市级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审核，并报</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农业农村部门批复。</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九</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事业单位不得承担生产经营性项目，不得以项目名义为经营主体采购设备和建设设施，不得对承担的建设任务进行转包、分包。</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第三章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建设管理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集群项目建设期一般为4年。</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农业农村部门应在项目建设期第3年和第4年分别报送第一次续建方案和第二次续建方案，中央财政相应分3批给予奖补支持。续建方案审核备案参照优势特色产业集群项目批复立项程序执行。</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val="en-US" w:eastAsia="zh-CN"/>
        </w:rPr>
        <w:t>一</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应加强项目前期工作和项目管理，严格控制中央财政奖补资金支持项目的各类变更。对因客观原因确需变更的，由建设主体所在地</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编制项目调整变更方案，逐级报送至</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农业农村部门进行材料审核、实地核查和专家论证，经财政部门同意后予以批复，并报农业农村部、财政部备案。涉及变更的中央财政奖补资金总额原则上不超过当年中央财政奖补资金总额的30%。涉及变更的部分超过中央财政资金总额30%的，应按照项目申报程序，重新申报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autoSpaceDE w:val="0"/>
        <w:autoSpaceDN w:val="0"/>
        <w:bidi w:val="0"/>
        <w:adjustRightInd w:val="0"/>
        <w:snapToGrid w:val="0"/>
        <w:spacing w:before="0" w:beforeAutospacing="0" w:after="0" w:afterAutospacing="0" w:line="560" w:lineRule="exact"/>
        <w:ind w:left="0" w:right="0" w:firstLine="642" w:firstLineChars="200"/>
        <w:jc w:val="both"/>
        <w:textAlignment w:val="baseline"/>
        <w:outlineLvl w:val="9"/>
        <w:rPr>
          <w:rFonts w:hint="default" w:ascii="Times New Roman" w:hAnsi="Times New Roman" w:eastAsia="仿宋_GB2312" w:cs="Times New Roman"/>
          <w:snapToGrid w:val="0"/>
          <w:color w:val="auto"/>
          <w:spacing w:val="0"/>
          <w:kern w:val="0"/>
          <w:sz w:val="32"/>
          <w:szCs w:val="32"/>
          <w:lang w:val="en-US" w:eastAsia="en-US" w:bidi="ar-SA"/>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val="en-US" w:eastAsia="zh-CN"/>
        </w:rPr>
        <w:t>二</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1"/>
          <w:szCs w:val="31"/>
          <w:shd w:val="clear" w:color="auto" w:fill="FFFFFF"/>
        </w:rPr>
        <w:t>市</w:t>
      </w:r>
      <w:r>
        <w:rPr>
          <w:rFonts w:hint="default" w:ascii="Times New Roman" w:hAnsi="Times New Roman" w:eastAsia="仿宋_GB2312" w:cs="Times New Roman"/>
          <w:snapToGrid w:val="0"/>
          <w:color w:val="auto"/>
          <w:spacing w:val="0"/>
          <w:kern w:val="0"/>
          <w:sz w:val="32"/>
          <w:szCs w:val="32"/>
          <w:lang w:val="en-US" w:eastAsia="en-US" w:bidi="ar-SA"/>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snapToGrid w:val="0"/>
          <w:color w:val="auto"/>
          <w:spacing w:val="0"/>
          <w:kern w:val="0"/>
          <w:sz w:val="32"/>
          <w:szCs w:val="32"/>
          <w:lang w:val="en-US" w:eastAsia="en-US" w:bidi="ar-SA"/>
        </w:rPr>
        <w:t>应定期组织开展项目实施情况调研监督，对辖区内在建集群项目每年至少组织开展一次全面检查，并组织定期抽查，确保每个项目每年至少检查一次。市级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snapToGrid w:val="0"/>
          <w:color w:val="auto"/>
          <w:spacing w:val="0"/>
          <w:kern w:val="0"/>
          <w:sz w:val="32"/>
          <w:szCs w:val="32"/>
          <w:lang w:val="en-US" w:eastAsia="en-US" w:bidi="ar-SA"/>
        </w:rPr>
        <w:t>可与财政部门、审计部门或纪检部门开展联合检查。</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snapToGrid w:val="0"/>
          <w:color w:val="auto"/>
          <w:spacing w:val="0"/>
          <w:kern w:val="0"/>
          <w:sz w:val="32"/>
          <w:szCs w:val="32"/>
          <w:lang w:val="en-US" w:eastAsia="en-US" w:bidi="ar-SA"/>
        </w:rPr>
        <w:t>将联合农业农村</w:t>
      </w:r>
      <w:r>
        <w:rPr>
          <w:rFonts w:hint="default" w:ascii="Times New Roman" w:hAnsi="Times New Roman" w:eastAsia="仿宋_GB2312" w:cs="Times New Roman"/>
          <w:snapToGrid w:val="0"/>
          <w:color w:val="auto"/>
          <w:spacing w:val="0"/>
          <w:kern w:val="0"/>
          <w:sz w:val="32"/>
          <w:szCs w:val="32"/>
          <w:lang w:val="en-US" w:eastAsia="zh-CN" w:bidi="ar-SA"/>
        </w:rPr>
        <w:t>厅、</w:t>
      </w:r>
      <w:r>
        <w:rPr>
          <w:rFonts w:hint="default" w:ascii="Times New Roman" w:hAnsi="Times New Roman" w:eastAsia="仿宋_GB2312" w:cs="Times New Roman"/>
          <w:snapToGrid w:val="0"/>
          <w:color w:val="auto"/>
          <w:spacing w:val="0"/>
          <w:kern w:val="0"/>
          <w:sz w:val="32"/>
          <w:szCs w:val="32"/>
          <w:lang w:val="en-US" w:eastAsia="en-US" w:bidi="ar-SA"/>
        </w:rPr>
        <w:t>财政</w:t>
      </w:r>
      <w:r>
        <w:rPr>
          <w:rFonts w:hint="default" w:ascii="Times New Roman" w:hAnsi="Times New Roman" w:eastAsia="仿宋_GB2312" w:cs="Times New Roman"/>
          <w:snapToGrid w:val="0"/>
          <w:color w:val="auto"/>
          <w:spacing w:val="0"/>
          <w:kern w:val="0"/>
          <w:sz w:val="32"/>
          <w:szCs w:val="32"/>
          <w:lang w:val="en-US" w:eastAsia="zh-CN" w:bidi="ar-SA"/>
        </w:rPr>
        <w:t>厅</w:t>
      </w:r>
      <w:r>
        <w:rPr>
          <w:rFonts w:hint="default" w:ascii="Times New Roman" w:hAnsi="Times New Roman" w:eastAsia="仿宋_GB2312" w:cs="Times New Roman"/>
          <w:snapToGrid w:val="0"/>
          <w:color w:val="auto"/>
          <w:spacing w:val="0"/>
          <w:kern w:val="0"/>
          <w:sz w:val="32"/>
          <w:szCs w:val="32"/>
          <w:lang w:val="en-US" w:eastAsia="en-US" w:bidi="ar-SA"/>
        </w:rPr>
        <w:t>不定期开展项目抽查检查。</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val="en-US" w:eastAsia="zh-CN"/>
        </w:rPr>
        <w:t>三</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督促市县级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，及时按要求填报项目管理信息系统，客观反映集群项目建设进展和资金使用情况。</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default" w:ascii="Times New Roman" w:hAnsi="Times New Roman" w:eastAsia="仿宋_GB2312" w:cs="Times New Roman"/>
          <w:color w:val="auto"/>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第四章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资金管理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val="en-US" w:eastAsia="zh-CN"/>
        </w:rPr>
        <w:t>四</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集群项目中央财政奖补资金使用，按照《农业产业发展资金管理办法》等有关规定执行。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val="en-US" w:eastAsia="zh-CN"/>
        </w:rPr>
        <w:t>五</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鼓励各地创新中央财政奖补资金使用方式，灵活采用以奖代补、先建后补、贷款贴息、直接补助、政府购买服务等方式，撬动各类资金投入，形成合力。注重联农带农，健全新型农业经营主体、涉农企业扶持政策与带动农户增收挂钩机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val="en-US" w:eastAsia="zh-CN"/>
        </w:rPr>
        <w:t>六</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中央财政奖补资金应集中力量支持示范作用强的项目，不得“撒胡椒面”、搞平均分配，不得用于建设楼堂馆所、市政道路、农村公路、绿化养护和旅游设施等与主导产业发展无关的一般性建设，不得用于人员工资、场地租赁、管理费、项目咨询和论证评审费等一般性支出，不得大量购买一次性生产资料、办公或实验耗材，</w:t>
      </w:r>
      <w:r>
        <w:rPr>
          <w:rFonts w:hint="default" w:ascii="Times New Roman" w:hAnsi="Times New Roman" w:eastAsia="仿宋_GB2312" w:cs="Times New Roman"/>
          <w:color w:val="auto"/>
          <w:spacing w:val="0"/>
          <w:sz w:val="32"/>
          <w:szCs w:val="32"/>
          <w:lang w:val="en-US" w:eastAsia="zh-CN"/>
        </w:rPr>
        <w:t>不得与已有普惠性政策（如农机购置补贴）交叉重复。</w:t>
      </w:r>
    </w:p>
    <w:p>
      <w:pPr>
        <w:pStyle w:val="2"/>
        <w:rPr>
          <w:rFonts w:hint="default" w:ascii="Times New Roman" w:hAnsi="Times New Roman" w:cs="Times New Roma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sz w:val="32"/>
          <w:szCs w:val="32"/>
        </w:rPr>
        <w:t>第五章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监督管理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val="en-US" w:eastAsia="zh-CN"/>
        </w:rPr>
        <w:t>七</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葡萄酒产业主管部门会同</w:t>
      </w:r>
      <w:r>
        <w:rPr>
          <w:rFonts w:hint="default" w:ascii="Times New Roman" w:hAnsi="Times New Roman" w:eastAsia="仿宋_GB2312" w:cs="Times New Roman"/>
          <w:color w:val="auto"/>
          <w:spacing w:val="0"/>
          <w:sz w:val="32"/>
          <w:szCs w:val="32"/>
        </w:rPr>
        <w:t>农业农村部门按要求开展绩效自评，将自评结果和证明材料报送农业农村部。</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十八</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在集群项目批准建设后第2年开展第1次绩效评估，重点评估项目实施管理、建设进展、中央财政奖补资金管理使用等情况。评估结果将适时通报，评估结果与第2笔中央财政奖补资金安排挂钩。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事前评估：</w:t>
      </w:r>
      <w:r>
        <w:rPr>
          <w:rFonts w:hint="default" w:ascii="Times New Roman" w:hAnsi="Times New Roman" w:eastAsia="仿宋_GB2312" w:cs="Times New Roman"/>
          <w:color w:val="auto"/>
          <w:spacing w:val="0"/>
          <w:sz w:val="32"/>
          <w:szCs w:val="32"/>
          <w:lang w:eastAsia="zh-CN"/>
        </w:rPr>
        <w:t>集群</w:t>
      </w:r>
      <w:r>
        <w:rPr>
          <w:rFonts w:hint="default" w:ascii="Times New Roman" w:hAnsi="Times New Roman" w:eastAsia="仿宋_GB2312" w:cs="Times New Roman"/>
          <w:color w:val="auto"/>
          <w:spacing w:val="0"/>
          <w:sz w:val="32"/>
          <w:szCs w:val="32"/>
        </w:rPr>
        <w:t>项目申报阶段需设定清晰、量化、可考核的绩效目标。</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事中监控：各级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定期对项目绩效目标实现程度和预算执行进度进行“双监控”，及时发现和纠正偏差。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事后评价：</w:t>
      </w:r>
      <w:r>
        <w:rPr>
          <w:rFonts w:hint="default" w:ascii="Times New Roman" w:hAnsi="Times New Roman" w:eastAsia="仿宋_GB2312" w:cs="Times New Roman"/>
          <w:color w:val="auto"/>
          <w:spacing w:val="0"/>
          <w:sz w:val="32"/>
          <w:szCs w:val="32"/>
          <w:lang w:eastAsia="zh-CN"/>
        </w:rPr>
        <w:t>集群</w:t>
      </w:r>
      <w:r>
        <w:rPr>
          <w:rFonts w:hint="default" w:ascii="Times New Roman" w:hAnsi="Times New Roman" w:eastAsia="仿宋_GB2312" w:cs="Times New Roman"/>
          <w:color w:val="auto"/>
          <w:spacing w:val="0"/>
          <w:sz w:val="32"/>
          <w:szCs w:val="32"/>
        </w:rPr>
        <w:t>项目完工后及运行一段时间后，由自治区级</w:t>
      </w:r>
      <w:r>
        <w:rPr>
          <w:rFonts w:hint="default" w:ascii="Times New Roman" w:hAnsi="Times New Roman" w:eastAsia="仿宋_GB2312" w:cs="Times New Roman"/>
          <w:color w:val="auto"/>
          <w:spacing w:val="0"/>
          <w:sz w:val="32"/>
          <w:szCs w:val="32"/>
          <w:lang w:eastAsia="zh-CN"/>
        </w:rPr>
        <w:t>葡萄酒产业主管部门会同农业农村部门</w:t>
      </w:r>
      <w:r>
        <w:rPr>
          <w:rFonts w:hint="default" w:ascii="Times New Roman" w:hAnsi="Times New Roman" w:eastAsia="仿宋_GB2312" w:cs="Times New Roman"/>
          <w:color w:val="auto"/>
          <w:spacing w:val="0"/>
          <w:sz w:val="32"/>
          <w:szCs w:val="32"/>
        </w:rPr>
        <w:t>组织或委托第三方机构开展绩效评价。评价结果作为政策调整、资金安排、管理改进及实施主体信用记录的重要依据。建立绩效评价结果公开和通报制度</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w:t>
      </w:r>
      <w:r>
        <w:rPr>
          <w:rFonts w:hint="default" w:ascii="Times New Roman" w:hAnsi="Times New Roman" w:eastAsia="仿宋_GB2312" w:cs="Times New Roman"/>
          <w:b/>
          <w:bCs/>
          <w:color w:val="auto"/>
          <w:spacing w:val="0"/>
          <w:sz w:val="32"/>
          <w:szCs w:val="32"/>
          <w:lang w:val="en-US" w:eastAsia="zh-CN"/>
        </w:rPr>
        <w:t>十九</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在集群项目批准建设后第3年开展第2次绩效评估，全面评估集群项目管理机制建立运行、项目组织实施、中央财政奖补资金使用，以及项目建设成效、联农带农作用等方面情况。评估结果将适时通报，并与第3笔中央财政奖补资金安排挂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对未通过第1或第2次绩效评估的集群项目，暂缓安排后续中央财政奖补资金，整改后可申请1次重新评估。出现2次绩效评估未通过的，不再安排后续中央财政奖补资金。</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cs="Times New Roman"/>
          <w:color w:val="auto"/>
        </w:rPr>
      </w:pPr>
      <w:r>
        <w:rPr>
          <w:rFonts w:hint="default" w:ascii="Times New Roman" w:hAnsi="Times New Roman" w:eastAsia="仿宋_GB2312" w:cs="Times New Roman"/>
          <w:b/>
          <w:bCs/>
          <w:color w:val="auto"/>
          <w:spacing w:val="0"/>
          <w:sz w:val="32"/>
          <w:szCs w:val="32"/>
        </w:rPr>
        <w:t>第二十条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i w:val="0"/>
          <w:iCs w:val="0"/>
          <w:caps w:val="0"/>
          <w:color w:val="auto"/>
          <w:spacing w:val="0"/>
          <w:sz w:val="31"/>
          <w:szCs w:val="31"/>
          <w:shd w:val="clear" w:color="auto" w:fill="FFFFFF"/>
        </w:rPr>
        <w:t>强化绩效评价结果运用，对项目建设、资金支付进度快的县（市、区），将在项目续建资金安排、推荐参加部级评价等方面予以支持。对绩效较差的，视情减少安排续建资金，并责成所在市（区）采取措施加强督促指导，加快建设进度。对存在严重损害农民利益、造成恶劣社会影响的，以及发生重大农业环境污染或生态破坏问题，发生重大安全生产或农产品质量安全事故，提供虚假资料等情形的，将暂停项目建设申报工作，不予安排续建资金。</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一</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对建设进度缓慢，不履行审批程序擅自变更，挤占、挪用、截留、滞留中央财政奖补资金等问题的，及时采取限期整改、印发提醒函、通报批评、停止拨款、收回结余中央财政奖补资金等处理措施。对情节严重的，向有关单位建议追究相关责任人的责任。</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二</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级</w:t>
      </w:r>
      <w:r>
        <w:rPr>
          <w:rFonts w:hint="default" w:ascii="Times New Roman" w:hAnsi="Times New Roman" w:eastAsia="仿宋_GB2312" w:cs="Times New Roman"/>
          <w:color w:val="auto"/>
          <w:spacing w:val="0"/>
          <w:sz w:val="32"/>
          <w:szCs w:val="32"/>
          <w:lang w:eastAsia="zh-CN"/>
        </w:rPr>
        <w:t>葡萄酒产业主管部门会同</w:t>
      </w:r>
      <w:r>
        <w:rPr>
          <w:rFonts w:hint="default" w:ascii="Times New Roman" w:hAnsi="Times New Roman" w:eastAsia="仿宋_GB2312" w:cs="Times New Roman"/>
          <w:color w:val="auto"/>
          <w:spacing w:val="0"/>
          <w:sz w:val="32"/>
          <w:szCs w:val="32"/>
        </w:rPr>
        <w:t>农业农村部门及时对完成建设任务、符合验收条件的项目，按规定组织验收。</w:t>
      </w:r>
      <w:r>
        <w:rPr>
          <w:rFonts w:hint="default" w:ascii="Times New Roman" w:hAnsi="Times New Roman" w:eastAsia="仿宋_GB2312" w:cs="Times New Roman"/>
          <w:color w:val="auto"/>
          <w:spacing w:val="0"/>
          <w:sz w:val="32"/>
          <w:szCs w:val="32"/>
          <w:lang w:val="en-US" w:eastAsia="zh-CN"/>
        </w:rPr>
        <w:t>验收组至少由5人组成（含1名行政人员、3名技术人员和1名财务专家）。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三</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项目</w:t>
      </w:r>
      <w:r>
        <w:rPr>
          <w:rFonts w:hint="default" w:ascii="Times New Roman" w:hAnsi="Times New Roman" w:eastAsia="仿宋_GB2312" w:cs="Times New Roman"/>
          <w:color w:val="auto"/>
          <w:spacing w:val="0"/>
          <w:sz w:val="32"/>
          <w:szCs w:val="32"/>
        </w:rPr>
        <w:t>竣工验收由建设主体</w:t>
      </w:r>
      <w:r>
        <w:rPr>
          <w:rFonts w:hint="default" w:ascii="Times New Roman" w:hAnsi="Times New Roman" w:eastAsia="仿宋_GB2312" w:cs="Times New Roman"/>
          <w:color w:val="auto"/>
          <w:spacing w:val="0"/>
          <w:sz w:val="32"/>
          <w:szCs w:val="32"/>
          <w:lang w:val="en-US" w:eastAsia="zh-CN"/>
        </w:rPr>
        <w:t>向县级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提出申请。涉及中央财政资金的项目应完成专项审计，出具审计报告，原则上由县级审计部门或经县级审计部门公布认可的第三方专业机构开展。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四</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各级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要自觉遵守廉洁自律和各项保密规定，坚持履职尽责、公平公正，严禁利用项目管理职权谋取任何个人利益。要完善项目监管，注重廉政风险防范，加强项目管理支撑单位的纪律约束。对违反规定影响干预项目管理，以及存在其他滥用职权、玩忽职守、徇私舞弊等违法违规违纪行为的，依法依规追究相关责任人责任。涉嫌犯罪的，依法移送有关部门处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五</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各级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对项目全链条管理信息的真实性负责，及时做好项目年度工作总结，于每年12月1</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日前</w:t>
      </w:r>
      <w:r>
        <w:rPr>
          <w:rFonts w:hint="default" w:ascii="Times New Roman" w:hAnsi="Times New Roman" w:eastAsia="仿宋_GB2312" w:cs="Times New Roman"/>
          <w:color w:val="auto"/>
          <w:spacing w:val="0"/>
          <w:sz w:val="32"/>
          <w:szCs w:val="32"/>
          <w:lang w:eastAsia="zh-CN"/>
        </w:rPr>
        <w:t>报送</w:t>
      </w:r>
      <w:r>
        <w:rPr>
          <w:rFonts w:hint="default" w:ascii="Times New Roman" w:hAnsi="Times New Roman" w:eastAsia="仿宋_GB2312" w:cs="Times New Roman"/>
          <w:color w:val="auto"/>
          <w:spacing w:val="0"/>
          <w:sz w:val="32"/>
          <w:szCs w:val="32"/>
        </w:rPr>
        <w:t>农业农村</w:t>
      </w:r>
      <w:r>
        <w:rPr>
          <w:rFonts w:hint="default" w:ascii="Times New Roman" w:hAnsi="Times New Roman" w:eastAsia="仿宋_GB2312" w:cs="Times New Roman"/>
          <w:color w:val="auto"/>
          <w:spacing w:val="0"/>
          <w:sz w:val="32"/>
          <w:szCs w:val="32"/>
          <w:lang w:eastAsia="zh-CN"/>
        </w:rPr>
        <w:t>厅</w:t>
      </w:r>
      <w:r>
        <w:rPr>
          <w:rFonts w:hint="default" w:ascii="Times New Roman" w:hAnsi="Times New Roman" w:eastAsia="仿宋_GB2312" w:cs="Times New Roman"/>
          <w:color w:val="auto"/>
          <w:spacing w:val="0"/>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六</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各级</w:t>
      </w:r>
      <w:r>
        <w:rPr>
          <w:rFonts w:hint="default" w:ascii="Times New Roman" w:hAnsi="Times New Roman" w:eastAsia="仿宋_GB2312" w:cs="Times New Roman"/>
          <w:color w:val="auto"/>
          <w:spacing w:val="0"/>
          <w:sz w:val="32"/>
          <w:szCs w:val="32"/>
          <w:lang w:eastAsia="zh-CN"/>
        </w:rPr>
        <w:t>葡萄酒产业主管部门</w:t>
      </w:r>
      <w:r>
        <w:rPr>
          <w:rFonts w:hint="default" w:ascii="Times New Roman" w:hAnsi="Times New Roman" w:eastAsia="仿宋_GB2312" w:cs="Times New Roman"/>
          <w:color w:val="auto"/>
          <w:spacing w:val="0"/>
          <w:sz w:val="32"/>
          <w:szCs w:val="32"/>
        </w:rPr>
        <w:t>要加强对集群建设典型案例和经验做法的梳理总结，加强宣传推介，营造良好氛围。</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default" w:ascii="Times New Roman" w:hAnsi="Times New Roman" w:eastAsia="仿宋_GB2312" w:cs="Times New Roman"/>
          <w:b/>
          <w:bCs/>
          <w:color w:val="auto"/>
          <w:spacing w:val="0"/>
          <w:sz w:val="32"/>
          <w:szCs w:val="32"/>
          <w:lang w:val="en-US" w:eastAsia="zh-CN"/>
        </w:rPr>
        <w:t>七</w:t>
      </w:r>
      <w:r>
        <w:rPr>
          <w:rFonts w:hint="default" w:ascii="Times New Roman" w:hAnsi="Times New Roman" w:eastAsia="仿宋_GB2312" w:cs="Times New Roman"/>
          <w:b/>
          <w:bCs/>
          <w:color w:val="auto"/>
          <w:spacing w:val="0"/>
          <w:sz w:val="32"/>
          <w:szCs w:val="32"/>
        </w:rPr>
        <w:t>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对发生重大生产安全、重大农产品质量安全、侵占农民权益、重大负面舆情等事件，造成恶劣社会影响的；虚构申报材料，弄虚作假骗取中央财政奖补资金的，以及其他严重违法违规违纪行为的县</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市、区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不得参与集群项目建设，已列入建设区域且在建设期内的，终止安排中央财政奖补资金。</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default" w:ascii="Times New Roman" w:hAnsi="Times New Roman" w:eastAsia="黑体" w:cs="Times New Roman"/>
          <w:b w:val="0"/>
          <w:bCs w:val="0"/>
          <w:color w:val="auto"/>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9"/>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eastAsia="zh-CN"/>
        </w:rPr>
        <w:t>六</w:t>
      </w:r>
      <w:r>
        <w:rPr>
          <w:rFonts w:hint="default" w:ascii="Times New Roman" w:hAnsi="Times New Roman" w:eastAsia="黑体" w:cs="Times New Roman"/>
          <w:b w:val="0"/>
          <w:bCs w:val="0"/>
          <w:color w:val="auto"/>
          <w:spacing w:val="0"/>
          <w:sz w:val="32"/>
          <w:szCs w:val="32"/>
        </w:rPr>
        <w:t>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其 他</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2" w:firstLineChars="200"/>
        <w:jc w:val="both"/>
        <w:textAlignment w:val="baseline"/>
        <w:outlineLvl w:val="9"/>
        <w:rPr>
          <w:rFonts w:hint="default" w:ascii="Times New Roman" w:hAnsi="Times New Roman" w:eastAsia="仿宋_GB2312" w:cs="Times New Roman"/>
          <w:snapToGrid w:val="0"/>
          <w:color w:val="auto"/>
          <w:spacing w:val="0"/>
          <w:kern w:val="0"/>
          <w:sz w:val="32"/>
          <w:szCs w:val="32"/>
          <w:lang w:val="en-US" w:eastAsia="en-US" w:bidi="ar-SA"/>
        </w:rPr>
      </w:pPr>
      <w:r>
        <w:rPr>
          <w:rStyle w:val="12"/>
          <w:rFonts w:hint="default" w:ascii="Times New Roman" w:hAnsi="Times New Roman" w:eastAsia="仿宋_GB2312" w:cs="Times New Roman"/>
          <w:i w:val="0"/>
          <w:iCs w:val="0"/>
          <w:caps w:val="0"/>
          <w:color w:val="auto"/>
          <w:spacing w:val="0"/>
          <w:sz w:val="32"/>
          <w:szCs w:val="32"/>
          <w:shd w:val="clear" w:color="auto" w:fill="FFFFFF"/>
        </w:rPr>
        <w:t>第</w:t>
      </w:r>
      <w:r>
        <w:rPr>
          <w:rStyle w:val="12"/>
          <w:rFonts w:hint="default" w:ascii="Times New Roman" w:hAnsi="Times New Roman" w:eastAsia="仿宋_GB2312" w:cs="Times New Roman"/>
          <w:i w:val="0"/>
          <w:iCs w:val="0"/>
          <w:caps w:val="0"/>
          <w:color w:val="auto"/>
          <w:spacing w:val="0"/>
          <w:sz w:val="32"/>
          <w:szCs w:val="32"/>
          <w:shd w:val="clear" w:color="auto" w:fill="FFFFFF"/>
          <w:lang w:val="en-US" w:eastAsia="zh-CN"/>
        </w:rPr>
        <w:t>二十八</w:t>
      </w:r>
      <w:r>
        <w:rPr>
          <w:rStyle w:val="12"/>
          <w:rFonts w:hint="default" w:ascii="Times New Roman" w:hAnsi="Times New Roman" w:eastAsia="仿宋_GB2312" w:cs="Times New Roman"/>
          <w:i w:val="0"/>
          <w:iCs w:val="0"/>
          <w:caps w:val="0"/>
          <w:color w:val="auto"/>
          <w:spacing w:val="0"/>
          <w:sz w:val="32"/>
          <w:szCs w:val="32"/>
          <w:shd w:val="clear" w:color="auto" w:fill="FFFFFF"/>
        </w:rPr>
        <w:t>条</w:t>
      </w:r>
      <w:r>
        <w:rPr>
          <w:rStyle w:val="12"/>
          <w:rFonts w:hint="default" w:ascii="Times New Roman" w:hAnsi="Times New Roman" w:eastAsia="仿宋_GB2312"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snapToGrid w:val="0"/>
          <w:color w:val="auto"/>
          <w:spacing w:val="0"/>
          <w:kern w:val="0"/>
          <w:sz w:val="32"/>
          <w:szCs w:val="32"/>
          <w:lang w:val="en-US" w:eastAsia="en-US" w:bidi="ar-SA"/>
        </w:rPr>
        <w:t>本</w:t>
      </w:r>
      <w:r>
        <w:rPr>
          <w:rFonts w:hint="default" w:ascii="Times New Roman" w:hAnsi="Times New Roman" w:eastAsia="仿宋_GB2312" w:cs="Times New Roman"/>
          <w:snapToGrid w:val="0"/>
          <w:color w:val="auto"/>
          <w:spacing w:val="0"/>
          <w:kern w:val="0"/>
          <w:sz w:val="32"/>
          <w:szCs w:val="32"/>
          <w:lang w:val="en-US" w:eastAsia="zh-CN" w:bidi="ar-SA"/>
        </w:rPr>
        <w:t>细则</w:t>
      </w:r>
      <w:r>
        <w:rPr>
          <w:rFonts w:hint="default" w:ascii="Times New Roman" w:hAnsi="Times New Roman" w:eastAsia="仿宋_GB2312" w:cs="Times New Roman"/>
          <w:snapToGrid w:val="0"/>
          <w:color w:val="auto"/>
          <w:spacing w:val="0"/>
          <w:kern w:val="0"/>
          <w:sz w:val="32"/>
          <w:szCs w:val="32"/>
          <w:lang w:val="en-US" w:eastAsia="en-US" w:bidi="ar-SA"/>
        </w:rPr>
        <w:t>由</w:t>
      </w:r>
      <w:r>
        <w:rPr>
          <w:rFonts w:hint="default" w:ascii="Times New Roman" w:hAnsi="Times New Roman" w:eastAsia="仿宋_GB2312" w:cs="Times New Roman"/>
          <w:snapToGrid w:val="0"/>
          <w:color w:val="auto"/>
          <w:spacing w:val="0"/>
          <w:kern w:val="0"/>
          <w:sz w:val="32"/>
          <w:szCs w:val="32"/>
          <w:lang w:val="en-US" w:eastAsia="zh-CN" w:bidi="ar-SA"/>
        </w:rPr>
        <w:t>宁夏贺兰山东麓葡萄酒产业园区管委会</w:t>
      </w:r>
      <w:r>
        <w:rPr>
          <w:rFonts w:hint="default" w:ascii="Times New Roman" w:hAnsi="Times New Roman" w:eastAsia="仿宋_GB2312" w:cs="Times New Roman"/>
          <w:snapToGrid w:val="0"/>
          <w:color w:val="auto"/>
          <w:spacing w:val="0"/>
          <w:kern w:val="0"/>
          <w:sz w:val="32"/>
          <w:szCs w:val="32"/>
          <w:lang w:val="en-US" w:eastAsia="en-US" w:bidi="ar-SA"/>
        </w:rPr>
        <w:t>负责解释。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2" w:firstLineChars="200"/>
        <w:jc w:val="both"/>
        <w:textAlignment w:val="baseline"/>
        <w:outlineLvl w:val="9"/>
        <w:rPr>
          <w:rFonts w:hint="default" w:ascii="Times New Roman" w:hAnsi="Times New Roman" w:eastAsia="仿宋_GB2312" w:cs="Times New Roman"/>
          <w:snapToGrid w:val="0"/>
          <w:color w:val="auto"/>
          <w:spacing w:val="0"/>
          <w:kern w:val="0"/>
          <w:sz w:val="32"/>
          <w:szCs w:val="32"/>
          <w:lang w:val="en-US" w:eastAsia="en-US" w:bidi="ar-SA"/>
        </w:rPr>
      </w:pPr>
      <w:r>
        <w:rPr>
          <w:rStyle w:val="12"/>
          <w:rFonts w:hint="default" w:ascii="Times New Roman" w:hAnsi="Times New Roman" w:eastAsia="仿宋_GB2312" w:cs="Times New Roman"/>
          <w:i w:val="0"/>
          <w:iCs w:val="0"/>
          <w:caps w:val="0"/>
          <w:color w:val="auto"/>
          <w:spacing w:val="0"/>
          <w:sz w:val="32"/>
          <w:szCs w:val="32"/>
          <w:shd w:val="clear" w:color="auto" w:fill="FFFFFF"/>
        </w:rPr>
        <w:t>第</w:t>
      </w:r>
      <w:r>
        <w:rPr>
          <w:rStyle w:val="12"/>
          <w:rFonts w:hint="default" w:ascii="Times New Roman" w:hAnsi="Times New Roman" w:eastAsia="仿宋_GB2312" w:cs="Times New Roman"/>
          <w:i w:val="0"/>
          <w:iCs w:val="0"/>
          <w:caps w:val="0"/>
          <w:color w:val="auto"/>
          <w:spacing w:val="0"/>
          <w:sz w:val="32"/>
          <w:szCs w:val="32"/>
          <w:shd w:val="clear" w:color="auto" w:fill="FFFFFF"/>
          <w:lang w:val="en-US" w:eastAsia="zh-CN"/>
        </w:rPr>
        <w:t xml:space="preserve">二十九条  </w:t>
      </w:r>
      <w:r>
        <w:rPr>
          <w:rFonts w:hint="default" w:ascii="Times New Roman" w:hAnsi="Times New Roman" w:eastAsia="仿宋_GB2312" w:cs="Times New Roman"/>
          <w:snapToGrid w:val="0"/>
          <w:color w:val="auto"/>
          <w:spacing w:val="0"/>
          <w:kern w:val="0"/>
          <w:sz w:val="32"/>
          <w:szCs w:val="32"/>
          <w:lang w:val="en-US" w:eastAsia="en-US" w:bidi="ar-SA"/>
        </w:rPr>
        <w:t>本细则未尽事宜，参照国家及自治区相关项目资金管理规定执行。若自治区出台新的相关规定，按新规定执行。</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2" w:firstLineChars="200"/>
        <w:jc w:val="both"/>
        <w:textAlignment w:val="baseline"/>
        <w:outlineLvl w:val="9"/>
        <w:rPr>
          <w:rFonts w:hint="default" w:ascii="Times New Roman" w:hAnsi="Times New Roman" w:eastAsia="仿宋_GB2312" w:cs="Times New Roman"/>
          <w:snapToGrid w:val="0"/>
          <w:color w:val="auto"/>
          <w:spacing w:val="0"/>
          <w:kern w:val="0"/>
          <w:sz w:val="32"/>
          <w:szCs w:val="32"/>
          <w:lang w:val="en-US" w:eastAsia="en-US" w:bidi="ar-SA"/>
        </w:rPr>
      </w:pPr>
      <w:r>
        <w:rPr>
          <w:rStyle w:val="12"/>
          <w:rFonts w:hint="default" w:ascii="Times New Roman" w:hAnsi="Times New Roman" w:eastAsia="仿宋_GB2312" w:cs="Times New Roman"/>
          <w:i w:val="0"/>
          <w:iCs w:val="0"/>
          <w:caps w:val="0"/>
          <w:color w:val="auto"/>
          <w:spacing w:val="0"/>
          <w:sz w:val="32"/>
          <w:szCs w:val="32"/>
          <w:shd w:val="clear" w:color="auto" w:fill="FFFFFF"/>
        </w:rPr>
        <w:t>第</w:t>
      </w:r>
      <w:r>
        <w:rPr>
          <w:rStyle w:val="12"/>
          <w:rFonts w:hint="default" w:ascii="Times New Roman" w:hAnsi="Times New Roman" w:eastAsia="仿宋_GB2312" w:cs="Times New Roman"/>
          <w:i w:val="0"/>
          <w:iCs w:val="0"/>
          <w:caps w:val="0"/>
          <w:color w:val="auto"/>
          <w:spacing w:val="0"/>
          <w:sz w:val="32"/>
          <w:szCs w:val="32"/>
          <w:shd w:val="clear" w:color="auto" w:fill="FFFFFF"/>
          <w:lang w:val="en-US" w:eastAsia="zh-CN"/>
        </w:rPr>
        <w:t>三十</w:t>
      </w:r>
      <w:r>
        <w:rPr>
          <w:rStyle w:val="12"/>
          <w:rFonts w:hint="default" w:ascii="Times New Roman" w:hAnsi="Times New Roman" w:eastAsia="仿宋_GB2312" w:cs="Times New Roman"/>
          <w:i w:val="0"/>
          <w:iCs w:val="0"/>
          <w:caps w:val="0"/>
          <w:color w:val="auto"/>
          <w:spacing w:val="0"/>
          <w:sz w:val="32"/>
          <w:szCs w:val="32"/>
          <w:shd w:val="clear" w:color="auto" w:fill="FFFFFF"/>
        </w:rPr>
        <w:t>条</w:t>
      </w:r>
      <w:r>
        <w:rPr>
          <w:rStyle w:val="12"/>
          <w:rFonts w:hint="default" w:ascii="Times New Roman" w:hAnsi="Times New Roman" w:eastAsia="仿宋_GB2312"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snapToGrid w:val="0"/>
          <w:color w:val="auto"/>
          <w:spacing w:val="0"/>
          <w:kern w:val="0"/>
          <w:sz w:val="32"/>
          <w:szCs w:val="32"/>
          <w:lang w:val="en-US" w:eastAsia="en-US" w:bidi="ar-SA"/>
        </w:rPr>
        <w:t>本</w:t>
      </w:r>
      <w:r>
        <w:rPr>
          <w:rFonts w:hint="default" w:ascii="Times New Roman" w:hAnsi="Times New Roman" w:eastAsia="仿宋_GB2312" w:cs="Times New Roman"/>
          <w:snapToGrid w:val="0"/>
          <w:color w:val="auto"/>
          <w:spacing w:val="0"/>
          <w:kern w:val="0"/>
          <w:sz w:val="32"/>
          <w:szCs w:val="32"/>
          <w:lang w:val="en-US" w:eastAsia="zh-CN" w:bidi="ar-SA"/>
        </w:rPr>
        <w:t>细则</w:t>
      </w:r>
      <w:r>
        <w:rPr>
          <w:rFonts w:hint="default" w:ascii="Times New Roman" w:hAnsi="Times New Roman" w:eastAsia="仿宋_GB2312" w:cs="Times New Roman"/>
          <w:snapToGrid w:val="0"/>
          <w:color w:val="auto"/>
          <w:spacing w:val="0"/>
          <w:kern w:val="0"/>
          <w:sz w:val="32"/>
          <w:szCs w:val="32"/>
          <w:lang w:val="en-US" w:eastAsia="en-US" w:bidi="ar-SA"/>
        </w:rPr>
        <w:t>自</w:t>
      </w:r>
      <w:r>
        <w:rPr>
          <w:rFonts w:hint="default" w:ascii="Times New Roman" w:hAnsi="Times New Roman" w:eastAsia="仿宋_GB2312" w:cs="Times New Roman"/>
          <w:snapToGrid w:val="0"/>
          <w:color w:val="auto"/>
          <w:spacing w:val="0"/>
          <w:kern w:val="0"/>
          <w:sz w:val="32"/>
          <w:szCs w:val="32"/>
          <w:lang w:val="en-US" w:eastAsia="zh-CN" w:bidi="ar-SA"/>
        </w:rPr>
        <w:t>发布之日</w:t>
      </w:r>
      <w:r>
        <w:rPr>
          <w:rFonts w:hint="default" w:ascii="Times New Roman" w:hAnsi="Times New Roman" w:eastAsia="仿宋_GB2312" w:cs="Times New Roman"/>
          <w:snapToGrid w:val="0"/>
          <w:color w:val="auto"/>
          <w:spacing w:val="0"/>
          <w:kern w:val="0"/>
          <w:sz w:val="32"/>
          <w:szCs w:val="32"/>
          <w:lang w:val="en-US" w:eastAsia="en-US" w:bidi="ar-SA"/>
        </w:rPr>
        <w:t>起试行，有效期为</w:t>
      </w:r>
      <w:r>
        <w:rPr>
          <w:rFonts w:hint="default" w:ascii="Times New Roman" w:hAnsi="Times New Roman" w:eastAsia="仿宋_GB2312" w:cs="Times New Roman"/>
          <w:snapToGrid w:val="0"/>
          <w:color w:val="auto"/>
          <w:spacing w:val="0"/>
          <w:kern w:val="0"/>
          <w:sz w:val="32"/>
          <w:szCs w:val="32"/>
          <w:lang w:val="en-US" w:eastAsia="zh-CN" w:bidi="ar-SA"/>
        </w:rPr>
        <w:t>2</w:t>
      </w:r>
      <w:r>
        <w:rPr>
          <w:rFonts w:hint="default" w:ascii="Times New Roman" w:hAnsi="Times New Roman" w:eastAsia="仿宋_GB2312" w:cs="Times New Roman"/>
          <w:snapToGrid w:val="0"/>
          <w:color w:val="auto"/>
          <w:spacing w:val="0"/>
          <w:kern w:val="0"/>
          <w:sz w:val="32"/>
          <w:szCs w:val="32"/>
          <w:lang w:val="en-US" w:eastAsia="en-US" w:bidi="ar-SA"/>
        </w:rPr>
        <w:t>年。</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default" w:ascii="Times New Roman" w:hAnsi="Times New Roman" w:eastAsia="仿宋_GB2312" w:cs="Times New Roman"/>
          <w:color w:val="auto"/>
          <w:spacing w:val="0"/>
          <w:sz w:val="32"/>
          <w:szCs w:val="32"/>
        </w:rPr>
      </w:pPr>
    </w:p>
    <w:sectPr>
      <w:footerReference r:id="rId5" w:type="default"/>
      <w:pgSz w:w="11920" w:h="16800"/>
      <w:pgMar w:top="2098" w:right="1474" w:bottom="1984" w:left="1587" w:header="0"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33" w:lineRule="auto"/>
      <w:ind w:left="110"/>
      <w:rPr>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BDFCC25"/>
    <w:rsid w:val="274A5DD5"/>
    <w:rsid w:val="2CAD5E46"/>
    <w:rsid w:val="45F4468E"/>
    <w:rsid w:val="573F4FB5"/>
    <w:rsid w:val="5B4B7CAA"/>
    <w:rsid w:val="5B7E9A30"/>
    <w:rsid w:val="5B92A416"/>
    <w:rsid w:val="5E9B298E"/>
    <w:rsid w:val="5FFFE46A"/>
    <w:rsid w:val="6787F8B5"/>
    <w:rsid w:val="797583FB"/>
    <w:rsid w:val="7F8E0023"/>
    <w:rsid w:val="7F97E08E"/>
    <w:rsid w:val="7FE63CD0"/>
    <w:rsid w:val="ABDC7341"/>
    <w:rsid w:val="BDEB3235"/>
    <w:rsid w:val="BF33C3F0"/>
    <w:rsid w:val="D69B9487"/>
    <w:rsid w:val="E7ADC792"/>
    <w:rsid w:val="EFE4DFED"/>
    <w:rsid w:val="FFDD14ED"/>
    <w:rsid w:val="FFDF5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引用"/>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5">
    <w:name w:val="Body Text"/>
    <w:basedOn w:val="1"/>
    <w:semiHidden/>
    <w:qFormat/>
    <w:uiPriority w:val="0"/>
    <w:rPr>
      <w:rFonts w:ascii="宋体" w:hAnsi="宋体" w:eastAsia="宋体" w:cs="宋体"/>
      <w:sz w:val="61"/>
      <w:szCs w:val="6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99"/>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Default"/>
    <w:basedOn w:val="16"/>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16">
    <w:name w:val="正文1"/>
    <w:next w:val="15"/>
    <w:qFormat/>
    <w:uiPriority w:val="0"/>
    <w:pPr>
      <w:jc w:val="both"/>
    </w:pPr>
    <w:rPr>
      <w:rFonts w:ascii="Times New Roman" w:hAnsi="Times New Roman"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4472</Words>
  <Characters>4484</Characters>
  <TotalTime>5</TotalTime>
  <ScaleCrop>false</ScaleCrop>
  <LinksUpToDate>false</LinksUpToDate>
  <CharactersWithSpaces>4576</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2025-07-26T10:09:00Z</dcterms:created>
  <dc:creator>ghcyc</dc:creator>
  <cp:lastModifiedBy>麻美子</cp:lastModifiedBy>
  <cp:lastPrinted>2025-08-08T02:43:00Z</cp:lastPrinted>
  <dcterms:modified xsi:type="dcterms:W3CDTF">2025-08-08T15:24:37Z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2025-07-24T10:09:43Z</vt:filetime>
  </property>
  <property fmtid="{D5CDD505-2E9C-101B-9397-08002B2CF9AE}" pid="4" name="UsrData">
    <vt:lpwstr>688195e3a43bea00205cf5adwl</vt:lpwstr>
  </property>
  <property fmtid="{D5CDD505-2E9C-101B-9397-08002B2CF9AE}" pid="5" name="KSOProductBuildVer">
    <vt:lpwstr>2052-12.8.2.1113</vt:lpwstr>
  </property>
  <property fmtid="{D5CDD505-2E9C-101B-9397-08002B2CF9AE}" pid="6" name="ICV">
    <vt:lpwstr>22F97B8F18167A6BA3A2956894FE2A72_43</vt:lpwstr>
  </property>
  <property fmtid="{D5CDD505-2E9C-101B-9397-08002B2CF9AE}" pid="7" name="KSOTemplateDocerSaveRecord">
    <vt:lpwstr>eyJoZGlkIjoiNGU4YjdlMTNmNTA2NzRkMTFhZWFmNDY0Y2VjMTljYzIiLCJ1c2VySWQiOiI1MzU1MyJ9</vt:lpwstr>
  </property>
</Properties>
</file>