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ind w:left="42" w:leftChars="20" w:firstLine="0" w:firstLineChars="0"/>
        <w:jc w:val="both"/>
        <w:textAlignment w:val="auto"/>
        <w:rPr>
          <w:rFonts w:hint="default" w:ascii="Times New Roman" w:hAnsi="Times New Roman" w:eastAsia="方正小标宋简体" w:cs="Times New Roman"/>
          <w:color w:val="FF0000"/>
          <w:spacing w:val="-23"/>
          <w:w w:val="54"/>
          <w:sz w:val="80"/>
          <w:szCs w:val="80"/>
          <w:u w:val="none" w:color="auto"/>
        </w:rPr>
      </w:pPr>
      <w:r>
        <w:rPr>
          <w:rFonts w:hint="default" w:ascii="Times New Roman" w:hAnsi="Times New Roman" w:eastAsia="方正小标宋简体" w:cs="Times New Roman"/>
          <w:color w:val="FF0000"/>
          <w:spacing w:val="-23"/>
          <w:w w:val="54"/>
          <w:sz w:val="80"/>
          <w:szCs w:val="80"/>
          <w:u w:val="none" w:color="auto"/>
        </w:rPr>
        <w:t>宁夏贺兰山东麓葡萄</w:t>
      </w:r>
      <w:r>
        <w:rPr>
          <w:rFonts w:hint="default" w:ascii="Times New Roman" w:hAnsi="Times New Roman" w:eastAsia="方正小标宋简体" w:cs="Times New Roman"/>
          <w:color w:val="FF0000"/>
          <w:spacing w:val="-23"/>
          <w:w w:val="54"/>
          <w:sz w:val="80"/>
          <w:szCs w:val="80"/>
          <w:u w:val="none" w:color="auto"/>
          <w:lang w:eastAsia="zh-CN"/>
        </w:rPr>
        <w:t>酒</w:t>
      </w:r>
      <w:r>
        <w:rPr>
          <w:rFonts w:hint="default" w:ascii="Times New Roman" w:hAnsi="Times New Roman" w:eastAsia="方正小标宋简体" w:cs="Times New Roman"/>
          <w:color w:val="FF0000"/>
          <w:spacing w:val="-23"/>
          <w:w w:val="54"/>
          <w:sz w:val="80"/>
          <w:szCs w:val="80"/>
          <w:u w:val="none" w:color="auto"/>
        </w:rPr>
        <w:t>产业园区管理委员会</w:t>
      </w:r>
    </w:p>
    <w:p>
      <w:pPr>
        <w:keepNext w:val="0"/>
        <w:keepLines w:val="0"/>
        <w:pageBreakBefore w:val="0"/>
        <w:widowControl w:val="0"/>
        <w:kinsoku/>
        <w:wordWrap/>
        <w:overflowPunct/>
        <w:topLinePunct w:val="0"/>
        <w:autoSpaceDE/>
        <w:autoSpaceDN/>
        <w:bidi w:val="0"/>
        <w:adjustRightInd/>
        <w:snapToGrid/>
        <w:spacing w:line="1000" w:lineRule="exact"/>
        <w:ind w:left="42" w:leftChars="20" w:firstLine="0" w:firstLineChars="0"/>
        <w:jc w:val="both"/>
        <w:textAlignment w:val="auto"/>
        <w:rPr>
          <w:rFonts w:hint="default" w:ascii="Times New Roman" w:hAnsi="Times New Roman" w:eastAsia="方正小标宋简体" w:cs="Times New Roman"/>
          <w:color w:val="FF0000"/>
          <w:spacing w:val="74"/>
          <w:w w:val="60"/>
          <w:sz w:val="80"/>
          <w:szCs w:val="80"/>
          <w:lang w:val="en-US" w:eastAsia="zh-CN"/>
        </w:rPr>
      </w:pPr>
      <w:r>
        <w:rPr>
          <w:rFonts w:hint="default" w:ascii="Times New Roman" w:hAnsi="Times New Roman" w:eastAsia="方正小标宋简体" w:cs="Times New Roman"/>
          <w:color w:val="FF0000"/>
          <w:spacing w:val="74"/>
          <w:w w:val="60"/>
          <w:sz w:val="80"/>
          <w:szCs w:val="80"/>
          <w:lang w:val="en-US" w:eastAsia="zh-CN"/>
        </w:rPr>
        <w:t>宁夏回族自治区党委金融办</w:t>
      </w:r>
    </w:p>
    <w:p>
      <w:pPr>
        <w:keepNext w:val="0"/>
        <w:keepLines w:val="0"/>
        <w:pageBreakBefore w:val="0"/>
        <w:widowControl w:val="0"/>
        <w:kinsoku/>
        <w:wordWrap/>
        <w:overflowPunct/>
        <w:topLinePunct w:val="0"/>
        <w:autoSpaceDE/>
        <w:autoSpaceDN/>
        <w:bidi w:val="0"/>
        <w:adjustRightInd/>
        <w:snapToGrid/>
        <w:spacing w:line="1000" w:lineRule="exact"/>
        <w:ind w:left="42" w:leftChars="20" w:firstLine="0" w:firstLineChars="0"/>
        <w:jc w:val="both"/>
        <w:textAlignment w:val="auto"/>
        <w:rPr>
          <w:rFonts w:hint="default" w:ascii="Times New Roman" w:hAnsi="Times New Roman" w:cs="Times New Roman"/>
          <w:spacing w:val="28"/>
          <w:lang w:val="en-US" w:eastAsia="zh-CN"/>
        </w:rPr>
      </w:pPr>
      <w:r>
        <w:rPr>
          <w:rFonts w:hint="default" w:ascii="Times New Roman" w:hAnsi="Times New Roman" w:cs="Times New Roman"/>
          <w:spacing w:val="74"/>
          <w:sz w:val="80"/>
        </w:rPr>
        <mc:AlternateContent>
          <mc:Choice Requires="wps">
            <w:drawing>
              <wp:anchor distT="0" distB="0" distL="114300" distR="114300" simplePos="0" relativeHeight="251661312" behindDoc="0" locked="0" layoutInCell="1" allowOverlap="1">
                <wp:simplePos x="0" y="0"/>
                <wp:positionH relativeFrom="column">
                  <wp:posOffset>4712970</wp:posOffset>
                </wp:positionH>
                <wp:positionV relativeFrom="paragraph">
                  <wp:posOffset>593090</wp:posOffset>
                </wp:positionV>
                <wp:extent cx="1226820" cy="990600"/>
                <wp:effectExtent l="0" t="0" r="11430" b="0"/>
                <wp:wrapNone/>
                <wp:docPr id="2" name="文本框 2"/>
                <wp:cNvGraphicFramePr/>
                <a:graphic xmlns:a="http://schemas.openxmlformats.org/drawingml/2006/main">
                  <a:graphicData uri="http://schemas.microsoft.com/office/word/2010/wordprocessingShape">
                    <wps:wsp>
                      <wps:cNvSpPr txBox="1"/>
                      <wps:spPr>
                        <a:xfrm>
                          <a:off x="6412865" y="2310130"/>
                          <a:ext cx="1226820" cy="9906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spacing w:val="-11"/>
                                <w:w w:val="100"/>
                                <w:lang w:val="en-US"/>
                              </w:rPr>
                            </w:pPr>
                            <w:r>
                              <w:rPr>
                                <w:rFonts w:hint="eastAsia" w:ascii="Times New Roman" w:hAnsi="Times New Roman" w:eastAsia="方正小标宋简体" w:cs="Times New Roman"/>
                                <w:color w:val="FF0000"/>
                                <w:spacing w:val="-11"/>
                                <w:w w:val="100"/>
                                <w:sz w:val="80"/>
                                <w:szCs w:val="80"/>
                                <w:u w:val="none" w:color="auto"/>
                                <w:lang w:val="en-US" w:eastAsia="zh-CN"/>
                              </w:rPr>
                              <w:t>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1pt;margin-top:46.7pt;height:78pt;width:96.6pt;z-index:251661312;mso-width-relative:page;mso-height-relative:page;" fillcolor="#FFFFFF [3201]" filled="t" stroked="f" coordsize="21600,21600" o:gfxdata="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FgAAAGRy&#10;cy9QSwECFAAUAAAACACHTuJA3rg2pdYAAAAKAQAADwAAAAAAAAABACAAAAA4AAAAZHJzL2Rvd25y&#10;ZXYueG1sUEsBAhQAFAAAAAgAh07iQLKuHJlcAgAAmwQAAA4AAAAAAAAAAQAgAAAAOwEAAGRycy9l&#10;Mm9Eb2MueG1sUEsFBgAAAAAGAAYAWQEAAAkGAAAAAA==&#10;">
                <v:fill on="t" focussize="0,0"/>
                <v:stroke on="f" weight="0.5pt"/>
                <v:imagedata o:title=""/>
                <o:lock v:ext="edit" aspectratio="f"/>
                <v:textbox>
                  <w:txbxContent>
                    <w:p>
                      <w:pPr>
                        <w:rPr>
                          <w:rFonts w:hint="default"/>
                          <w:spacing w:val="-11"/>
                          <w:w w:val="100"/>
                          <w:lang w:val="en-US"/>
                        </w:rPr>
                      </w:pPr>
                      <w:r>
                        <w:rPr>
                          <w:rFonts w:hint="eastAsia" w:ascii="Times New Roman" w:hAnsi="Times New Roman" w:eastAsia="方正小标宋简体" w:cs="Times New Roman"/>
                          <w:color w:val="FF0000"/>
                          <w:spacing w:val="-11"/>
                          <w:w w:val="100"/>
                          <w:sz w:val="80"/>
                          <w:szCs w:val="80"/>
                          <w:u w:val="none" w:color="auto"/>
                          <w:lang w:val="en-US" w:eastAsia="zh-CN"/>
                        </w:rPr>
                        <w:t>文件</w:t>
                      </w:r>
                    </w:p>
                  </w:txbxContent>
                </v:textbox>
              </v:shape>
            </w:pict>
          </mc:Fallback>
        </mc:AlternateContent>
      </w:r>
      <w:r>
        <w:rPr>
          <w:rFonts w:hint="default" w:ascii="Times New Roman" w:hAnsi="Times New Roman" w:eastAsia="方正小标宋简体" w:cs="Times New Roman"/>
          <w:color w:val="FF0000"/>
          <w:spacing w:val="28"/>
          <w:w w:val="60"/>
          <w:sz w:val="80"/>
          <w:szCs w:val="80"/>
          <w:u w:val="none" w:color="auto"/>
          <w:lang w:val="en-US" w:eastAsia="zh-CN"/>
        </w:rPr>
        <w:t>宁夏回族自治区工业和信息化厅</w:t>
      </w:r>
    </w:p>
    <w:p>
      <w:pPr>
        <w:keepNext w:val="0"/>
        <w:keepLines w:val="0"/>
        <w:pageBreakBefore w:val="0"/>
        <w:widowControl w:val="0"/>
        <w:kinsoku/>
        <w:wordWrap/>
        <w:overflowPunct/>
        <w:topLinePunct w:val="0"/>
        <w:autoSpaceDE/>
        <w:autoSpaceDN/>
        <w:bidi w:val="0"/>
        <w:adjustRightInd/>
        <w:snapToGrid/>
        <w:spacing w:line="1000" w:lineRule="exact"/>
        <w:ind w:left="42" w:leftChars="20" w:firstLine="0" w:firstLineChars="0"/>
        <w:jc w:val="both"/>
        <w:textAlignment w:val="auto"/>
        <w:rPr>
          <w:rFonts w:hint="default" w:ascii="Times New Roman" w:hAnsi="Times New Roman" w:eastAsia="方正小标宋简体" w:cs="Times New Roman"/>
          <w:color w:val="FF0000"/>
          <w:spacing w:val="74"/>
          <w:w w:val="60"/>
          <w:sz w:val="80"/>
          <w:szCs w:val="80"/>
          <w:u w:val="none" w:color="auto"/>
          <w:lang w:val="en-US" w:eastAsia="zh-CN"/>
        </w:rPr>
      </w:pPr>
      <w:r>
        <w:rPr>
          <w:rFonts w:hint="default" w:ascii="Times New Roman" w:hAnsi="Times New Roman" w:eastAsia="方正小标宋简体" w:cs="Times New Roman"/>
          <w:color w:val="FF0000"/>
          <w:spacing w:val="74"/>
          <w:w w:val="60"/>
          <w:sz w:val="80"/>
          <w:szCs w:val="80"/>
          <w:u w:val="none" w:color="auto"/>
          <w:lang w:val="en-US" w:eastAsia="zh-CN"/>
        </w:rPr>
        <w:t>宁夏回族自治区自然资源厅</w:t>
      </w:r>
    </w:p>
    <w:p>
      <w:pPr>
        <w:keepNext w:val="0"/>
        <w:keepLines w:val="0"/>
        <w:pageBreakBefore w:val="0"/>
        <w:widowControl w:val="0"/>
        <w:kinsoku/>
        <w:wordWrap/>
        <w:overflowPunct/>
        <w:topLinePunct w:val="0"/>
        <w:autoSpaceDE/>
        <w:autoSpaceDN/>
        <w:bidi w:val="0"/>
        <w:adjustRightInd/>
        <w:snapToGrid/>
        <w:spacing w:line="1000" w:lineRule="exact"/>
        <w:ind w:left="42" w:leftChars="20" w:firstLine="0" w:firstLineChars="0"/>
        <w:jc w:val="both"/>
        <w:textAlignment w:val="auto"/>
        <w:rPr>
          <w:rFonts w:hint="eastAsia" w:ascii="Times New Roman" w:hAnsi="Times New Roman" w:eastAsia="方正小标宋简体" w:cs="Times New Roman"/>
          <w:color w:val="FF0000"/>
          <w:spacing w:val="74"/>
          <w:w w:val="60"/>
          <w:sz w:val="80"/>
          <w:szCs w:val="80"/>
          <w:u w:val="none" w:color="auto"/>
          <w:lang w:val="en-US" w:eastAsia="zh-CN"/>
        </w:rPr>
      </w:pPr>
      <w:r>
        <w:rPr>
          <w:rFonts w:hint="default" w:ascii="Times New Roman" w:hAnsi="Times New Roman" w:eastAsia="方正小标宋简体" w:cs="Times New Roman"/>
          <w:color w:val="FF0000"/>
          <w:spacing w:val="74"/>
          <w:w w:val="60"/>
          <w:sz w:val="80"/>
          <w:szCs w:val="80"/>
          <w:u w:val="none" w:color="auto"/>
          <w:lang w:val="en-US" w:eastAsia="zh-CN"/>
        </w:rPr>
        <w:t>宁夏回族</w:t>
      </w:r>
      <w:r>
        <w:rPr>
          <w:rFonts w:hint="eastAsia" w:ascii="Times New Roman" w:hAnsi="Times New Roman" w:eastAsia="方正小标宋简体" w:cs="Times New Roman"/>
          <w:color w:val="FF0000"/>
          <w:spacing w:val="74"/>
          <w:w w:val="60"/>
          <w:sz w:val="80"/>
          <w:szCs w:val="80"/>
          <w:u w:val="none" w:color="auto"/>
          <w:lang w:val="en-US" w:eastAsia="zh-CN"/>
        </w:rPr>
        <w:t>自治区农业农村厅</w:t>
      </w:r>
    </w:p>
    <w:p>
      <w:pPr>
        <w:keepNext w:val="0"/>
        <w:keepLines w:val="0"/>
        <w:pageBreakBefore w:val="0"/>
        <w:widowControl w:val="0"/>
        <w:kinsoku/>
        <w:wordWrap/>
        <w:overflowPunct/>
        <w:topLinePunct w:val="0"/>
        <w:autoSpaceDE/>
        <w:autoSpaceDN/>
        <w:bidi w:val="0"/>
        <w:adjustRightInd/>
        <w:snapToGrid/>
        <w:spacing w:line="1000" w:lineRule="exact"/>
        <w:ind w:left="42" w:leftChars="20" w:firstLine="0" w:firstLineChars="0"/>
        <w:jc w:val="both"/>
        <w:textAlignment w:val="auto"/>
        <w:rPr>
          <w:rFonts w:hint="eastAsia" w:ascii="Times New Roman" w:hAnsi="Times New Roman" w:eastAsia="方正小标宋简体" w:cs="Times New Roman"/>
          <w:color w:val="FF0000"/>
          <w:spacing w:val="6"/>
          <w:w w:val="60"/>
          <w:sz w:val="80"/>
          <w:szCs w:val="80"/>
          <w:u w:val="none" w:color="auto"/>
          <w:lang w:val="en-US" w:eastAsia="zh-CN"/>
        </w:rPr>
      </w:pPr>
      <w:r>
        <w:rPr>
          <w:rFonts w:hint="eastAsia" w:ascii="Times New Roman" w:hAnsi="Times New Roman" w:eastAsia="方正小标宋简体" w:cs="Times New Roman"/>
          <w:color w:val="FF0000"/>
          <w:spacing w:val="6"/>
          <w:w w:val="60"/>
          <w:sz w:val="80"/>
          <w:szCs w:val="80"/>
          <w:u w:val="none" w:color="auto"/>
          <w:lang w:val="en-US" w:eastAsia="zh-CN"/>
        </w:rPr>
        <w:t>中国人民银行宁夏回族自治区分行</w:t>
      </w:r>
    </w:p>
    <w:p>
      <w:pPr>
        <w:keepNext w:val="0"/>
        <w:keepLines w:val="0"/>
        <w:pageBreakBefore w:val="0"/>
        <w:widowControl w:val="0"/>
        <w:kinsoku/>
        <w:wordWrap/>
        <w:overflowPunct/>
        <w:topLinePunct w:val="0"/>
        <w:autoSpaceDE/>
        <w:autoSpaceDN/>
        <w:bidi w:val="0"/>
        <w:adjustRightInd/>
        <w:snapToGrid/>
        <w:spacing w:line="1000" w:lineRule="exact"/>
        <w:ind w:left="42" w:leftChars="20" w:firstLine="0" w:firstLineChars="0"/>
        <w:jc w:val="both"/>
        <w:textAlignment w:val="auto"/>
        <w:rPr>
          <w:rFonts w:hint="default" w:ascii="Times New Roman" w:hAnsi="Times New Roman" w:eastAsia="方正小标宋简体" w:cs="Times New Roman"/>
          <w:color w:val="FF0000"/>
          <w:spacing w:val="6"/>
          <w:w w:val="60"/>
          <w:sz w:val="80"/>
          <w:szCs w:val="80"/>
          <w:u w:val="none" w:color="auto"/>
          <w:lang w:val="en-US" w:eastAsia="zh-CN"/>
        </w:rPr>
      </w:pPr>
      <w:r>
        <w:rPr>
          <w:rFonts w:hint="eastAsia" w:ascii="Times New Roman" w:hAnsi="Times New Roman" w:eastAsia="方正小标宋简体" w:cs="Times New Roman"/>
          <w:color w:val="FF0000"/>
          <w:spacing w:val="6"/>
          <w:w w:val="60"/>
          <w:sz w:val="80"/>
          <w:szCs w:val="80"/>
          <w:u w:val="none" w:color="auto"/>
          <w:lang w:val="en-US" w:eastAsia="zh-CN"/>
        </w:rPr>
        <w:t>国家金融监督管理总局宁夏监管局</w:t>
      </w:r>
    </w:p>
    <w:p>
      <w:pPr>
        <w:keepNext w:val="0"/>
        <w:keepLines w:val="0"/>
        <w:pageBreakBefore w:val="0"/>
        <w:widowControl w:val="0"/>
        <w:tabs>
          <w:tab w:val="left" w:pos="3113"/>
        </w:tabs>
        <w:kinsoku/>
        <w:wordWrap/>
        <w:overflowPunct/>
        <w:topLinePunct w:val="0"/>
        <w:autoSpaceDE/>
        <w:autoSpaceDN/>
        <w:bidi w:val="0"/>
        <w:adjustRightInd/>
        <w:snapToGrid/>
        <w:spacing w:before="313" w:beforeLines="100"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szCs w:val="32"/>
        </w:rPr>
        <w:t>宁葡委发〔202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52</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color w:val="FF0000"/>
          <w:spacing w:val="23"/>
          <w:w w:val="90"/>
          <w:sz w:val="96"/>
          <w:szCs w:val="96"/>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90805</wp:posOffset>
                </wp:positionV>
                <wp:extent cx="5774690" cy="4445"/>
                <wp:effectExtent l="0" t="0" r="0" b="0"/>
                <wp:wrapNone/>
                <wp:docPr id="17" name="直接箭头连接符 17"/>
                <wp:cNvGraphicFramePr/>
                <a:graphic xmlns:a="http://schemas.openxmlformats.org/drawingml/2006/main">
                  <a:graphicData uri="http://schemas.microsoft.com/office/word/2010/wordprocessingShape">
                    <wps:wsp>
                      <wps:cNvCnPr/>
                      <wps:spPr>
                        <a:xfrm flipV="1">
                          <a:off x="0" y="0"/>
                          <a:ext cx="5774690" cy="4445"/>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0.7pt;margin-top:7.15pt;height:0.35pt;width:454.7pt;z-index:251660288;mso-width-relative:page;mso-height-relative:page;" filled="f" stroked="t" coordsize="21600,21600" o:gfxdata="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HBz&#10;48XWAAAACAEAAA8AAAAAAAAAAQAgAAAAOAAAAGRycy9kb3ducmV2LnhtbFBLAQIUABQAAAAIAIdO&#10;4kBguWDuDwIAAAoEAAAOAAAAAAAAAAEAIAAAADsBAABkcnMvZTJvRG9jLnhtbFBLBQYAAAAABgAG&#10;AFkBAAC8BQAAAAA=&#10;">
                <v:fill on="f" focussize="0,0"/>
                <v:stroke weight="1.5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w w:val="1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44"/>
          <w:szCs w:val="44"/>
        </w:rPr>
      </w:pPr>
      <w:bookmarkStart w:id="0" w:name="_GoBack"/>
      <w:r>
        <w:rPr>
          <w:rFonts w:hint="eastAsia" w:ascii="方正小标宋简体" w:hAnsi="方正小标宋简体" w:eastAsia="方正小标宋简体" w:cs="方正小标宋简体"/>
          <w:b w:val="0"/>
          <w:bCs w:val="0"/>
          <w:color w:val="auto"/>
          <w:spacing w:val="0"/>
          <w:w w:val="100"/>
          <w:kern w:val="0"/>
          <w:sz w:val="44"/>
          <w:szCs w:val="44"/>
          <w:lang w:val="en-US" w:eastAsia="zh-CN"/>
        </w:rPr>
        <w:t>关于印发《</w:t>
      </w:r>
      <w:r>
        <w:rPr>
          <w:rFonts w:hint="eastAsia" w:ascii="方正小标宋简体" w:hAnsi="方正小标宋简体" w:eastAsia="方正小标宋简体" w:cs="方正小标宋简体"/>
          <w:spacing w:val="0"/>
          <w:w w:val="100"/>
          <w:sz w:val="44"/>
          <w:szCs w:val="44"/>
        </w:rPr>
        <w:t>国家葡萄及葡萄酒产业开放发展</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0"/>
          <w:w w:val="100"/>
          <w:sz w:val="44"/>
          <w:szCs w:val="44"/>
        </w:rPr>
      </w:pPr>
      <w:r>
        <w:rPr>
          <w:rFonts w:hint="eastAsia" w:ascii="方正小标宋简体" w:hAnsi="方正小标宋简体" w:eastAsia="方正小标宋简体" w:cs="方正小标宋简体"/>
          <w:spacing w:val="0"/>
          <w:w w:val="100"/>
          <w:sz w:val="44"/>
          <w:szCs w:val="44"/>
        </w:rPr>
        <w:t>综合试验区要素价值评估管理办法（试行）》</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w w:val="100"/>
          <w:kern w:val="0"/>
          <w:sz w:val="44"/>
          <w:szCs w:val="44"/>
          <w:lang w:val="en-US" w:eastAsia="zh-CN"/>
        </w:rPr>
      </w:pPr>
      <w:r>
        <w:rPr>
          <w:rFonts w:hint="eastAsia" w:ascii="方正小标宋简体" w:hAnsi="方正小标宋简体" w:eastAsia="方正小标宋简体" w:cs="方正小标宋简体"/>
          <w:spacing w:val="0"/>
          <w:w w:val="100"/>
          <w:sz w:val="44"/>
          <w:szCs w:val="44"/>
        </w:rPr>
        <w:t>等6个</w:t>
      </w:r>
      <w:r>
        <w:rPr>
          <w:rFonts w:hint="eastAsia" w:ascii="方正小标宋简体" w:hAnsi="方正小标宋简体" w:eastAsia="方正小标宋简体" w:cs="方正小标宋简体"/>
          <w:spacing w:val="0"/>
          <w:w w:val="100"/>
          <w:sz w:val="44"/>
          <w:szCs w:val="44"/>
          <w:lang w:eastAsia="zh-CN"/>
        </w:rPr>
        <w:t>配套</w:t>
      </w:r>
      <w:r>
        <w:rPr>
          <w:rFonts w:hint="eastAsia" w:ascii="方正小标宋简体" w:hAnsi="方正小标宋简体" w:eastAsia="方正小标宋简体" w:cs="方正小标宋简体"/>
          <w:spacing w:val="0"/>
          <w:w w:val="100"/>
          <w:sz w:val="44"/>
          <w:szCs w:val="44"/>
        </w:rPr>
        <w:t>文件</w:t>
      </w:r>
      <w:r>
        <w:rPr>
          <w:rFonts w:hint="eastAsia" w:ascii="方正小标宋简体" w:hAnsi="方正小标宋简体" w:eastAsia="方正小标宋简体" w:cs="方正小标宋简体"/>
          <w:b w:val="0"/>
          <w:bCs w:val="0"/>
          <w:color w:val="auto"/>
          <w:spacing w:val="0"/>
          <w:w w:val="100"/>
          <w:kern w:val="0"/>
          <w:sz w:val="44"/>
          <w:szCs w:val="44"/>
          <w:lang w:val="en-US" w:eastAsia="zh-CN"/>
        </w:rPr>
        <w:t>的通知</w:t>
      </w:r>
    </w:p>
    <w:bookmarkEnd w:id="0"/>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b w:val="0"/>
          <w:bCs w:val="0"/>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各市、县（区）葡萄酒产业主管部门、金融、工业和信息化、自然资源、农业农村、人民银行等部门（单位）：</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为推动落实《自治区党委办公厅 人民政府办公厅关于印发</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&lt;构建国家葡萄及葡萄酒产业开放发展综合试验区要素市场化配置体制机制的实施方案&gt;的通知》</w:t>
      </w:r>
      <w:r>
        <w:rPr>
          <w:rFonts w:hint="default" w:ascii="Times New Roman" w:hAnsi="Times New Roman" w:eastAsia="仿宋_GB2312" w:cs="Times New Roman"/>
          <w:b w:val="0"/>
          <w:bCs w:val="0"/>
          <w:color w:val="auto"/>
          <w:kern w:val="0"/>
          <w:sz w:val="32"/>
          <w:szCs w:val="32"/>
          <w:lang w:val="en-US" w:eastAsia="zh-CN"/>
        </w:rPr>
        <w:t>（宁党厅字〔2025〕34号），加快推进要素市场化配置各项工作，现将《国家葡萄及葡萄酒产业开放发展综合试验区要素价值评估管理办法（试行）》等6个配套文件</w:t>
      </w:r>
      <w:r>
        <w:rPr>
          <w:rFonts w:hint="eastAsia" w:ascii="Times New Roman" w:hAnsi="Times New Roman" w:eastAsia="仿宋_GB2312" w:cs="Times New Roman"/>
          <w:b w:val="0"/>
          <w:bCs w:val="0"/>
          <w:color w:val="auto"/>
          <w:kern w:val="0"/>
          <w:sz w:val="32"/>
          <w:szCs w:val="32"/>
          <w:lang w:val="en-US" w:eastAsia="zh-CN"/>
        </w:rPr>
        <w:t>印发给你们，请遵照执行。</w:t>
      </w:r>
    </w:p>
    <w:p>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国家葡萄及葡萄酒产业开放发展综合试验区要素价值评估管理办法（试行）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国家葡萄及葡萄酒产业开放发展综合试验区要素</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数字认证实施细则（试行）</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0" w:firstLineChars="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国家葡萄及葡萄酒产业开放发展综合试验区要素市场化融资服务实施细则（试行）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国家葡萄及葡萄酒产业开放发展综合试验区要素</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市场化流转实施细则（试行）</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国家葡萄及葡萄酒产业开放发展综合试验区要素</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市场化托管服务实施细则（试行）</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国家葡萄及葡萄酒产业开放发展综合试验区要素</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市场化风险管理实施细则（试行）</w:t>
      </w:r>
    </w:p>
    <w:p>
      <w:pPr>
        <w:keepNext w:val="0"/>
        <w:keepLines w:val="0"/>
        <w:pageBreakBefore w:val="0"/>
        <w:widowControl w:val="0"/>
        <w:kinsoku/>
        <w:wordWrap/>
        <w:overflowPunct/>
        <w:topLinePunct w:val="0"/>
        <w:autoSpaceDE/>
        <w:autoSpaceDN/>
        <w:bidi w:val="0"/>
        <w:adjustRightInd/>
        <w:snapToGrid/>
        <w:spacing w:line="560" w:lineRule="exact"/>
        <w:ind w:left="1596" w:leftChars="760"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pacing w:val="-23"/>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pacing w:val="-23"/>
          <w:kern w:val="0"/>
          <w:sz w:val="32"/>
          <w:szCs w:val="32"/>
          <w:lang w:val="en-US" w:eastAsia="zh-CN"/>
        </w:rPr>
      </w:pPr>
      <w:r>
        <w:rPr>
          <w:rFonts w:hint="eastAsia" w:ascii="仿宋_GB2312" w:hAnsi="仿宋_GB2312" w:eastAsia="仿宋_GB2312" w:cs="仿宋_GB2312"/>
          <w:b w:val="0"/>
          <w:bCs w:val="0"/>
          <w:color w:val="auto"/>
          <w:spacing w:val="-23"/>
          <w:kern w:val="0"/>
          <w:sz w:val="32"/>
          <w:szCs w:val="32"/>
          <w:lang w:val="en-US" w:eastAsia="zh-CN"/>
        </w:rPr>
        <w:t>（此页无正文）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pacing w:val="-23"/>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pacing w:val="-23"/>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spacing w:val="-23"/>
          <w:kern w:val="0"/>
          <w:sz w:val="32"/>
          <w:szCs w:val="32"/>
          <w:lang w:val="en-US" w:eastAsia="zh-CN"/>
        </w:rPr>
        <w:t>宁夏贺兰山东麓葡萄酒产业园区管委会</w:t>
      </w:r>
      <w:r>
        <w:rPr>
          <w:rFonts w:hint="eastAsia" w:ascii="仿宋_GB2312" w:hAnsi="仿宋_GB2312" w:eastAsia="仿宋_GB2312" w:cs="仿宋_GB2312"/>
          <w:b w:val="0"/>
          <w:bCs w:val="0"/>
          <w:color w:val="auto"/>
          <w:spacing w:val="20"/>
          <w:kern w:val="0"/>
          <w:sz w:val="32"/>
          <w:szCs w:val="32"/>
          <w:lang w:val="en-US" w:eastAsia="zh-CN"/>
        </w:rPr>
        <w:t xml:space="preserve">    </w:t>
      </w:r>
      <w:r>
        <w:rPr>
          <w:rFonts w:hint="eastAsia" w:ascii="仿宋_GB2312" w:hAnsi="仿宋_GB2312" w:eastAsia="仿宋_GB2312" w:cs="仿宋_GB2312"/>
          <w:b w:val="0"/>
          <w:bCs w:val="0"/>
          <w:color w:val="auto"/>
          <w:kern w:val="0"/>
          <w:sz w:val="32"/>
          <w:szCs w:val="32"/>
          <w:lang w:val="en-US" w:eastAsia="zh-CN"/>
        </w:rPr>
        <w:t>自治区党委金融办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自治区工业和信息化厅              自治区自然资源厅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自治区农业农村厅         中国人民银行宁夏回族自治区分行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rPr>
          <w:rFonts w:hint="default" w:ascii="Times New Roman" w:hAnsi="Times New Roman" w:eastAsia="仿宋_GB2312" w:cs="Times New Roman"/>
          <w:b w:val="0"/>
          <w:bCs w:val="0"/>
          <w:color w:val="auto"/>
          <w:spacing w:val="0"/>
          <w:w w:val="1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right"/>
        <w:textAlignment w:val="auto"/>
        <w:rPr>
          <w:rFonts w:hint="default" w:ascii="Times New Roman" w:hAnsi="Times New Roman" w:eastAsia="仿宋_GB2312" w:cs="Times New Roman"/>
          <w:b w:val="0"/>
          <w:bCs w:val="0"/>
          <w:color w:val="auto"/>
          <w:spacing w:val="0"/>
          <w:w w:val="100"/>
          <w:kern w:val="0"/>
          <w:sz w:val="32"/>
          <w:szCs w:val="32"/>
          <w:lang w:val="en-US" w:eastAsia="zh-CN"/>
        </w:rPr>
      </w:pPr>
      <w:r>
        <w:rPr>
          <w:rFonts w:hint="default" w:ascii="Times New Roman" w:hAnsi="Times New Roman" w:eastAsia="仿宋_GB2312" w:cs="Times New Roman"/>
          <w:b w:val="0"/>
          <w:bCs w:val="0"/>
          <w:color w:val="auto"/>
          <w:spacing w:val="0"/>
          <w:w w:val="100"/>
          <w:kern w:val="0"/>
          <w:sz w:val="32"/>
          <w:szCs w:val="32"/>
          <w:lang w:val="en-US" w:eastAsia="zh-CN"/>
        </w:rPr>
        <w:t>国家金融</w:t>
      </w:r>
      <w:r>
        <w:rPr>
          <w:rFonts w:hint="eastAsia" w:ascii="Times New Roman" w:hAnsi="Times New Roman" w:eastAsia="仿宋_GB2312" w:cs="Times New Roman"/>
          <w:b w:val="0"/>
          <w:bCs w:val="0"/>
          <w:color w:val="auto"/>
          <w:spacing w:val="0"/>
          <w:w w:val="100"/>
          <w:kern w:val="0"/>
          <w:sz w:val="32"/>
          <w:szCs w:val="32"/>
          <w:lang w:val="en-US" w:eastAsia="zh-CN"/>
        </w:rPr>
        <w:t>监督管理</w:t>
      </w:r>
      <w:r>
        <w:rPr>
          <w:rFonts w:hint="default" w:ascii="Times New Roman" w:hAnsi="Times New Roman" w:eastAsia="仿宋_GB2312" w:cs="Times New Roman"/>
          <w:b w:val="0"/>
          <w:bCs w:val="0"/>
          <w:color w:val="auto"/>
          <w:spacing w:val="0"/>
          <w:w w:val="100"/>
          <w:kern w:val="0"/>
          <w:sz w:val="32"/>
          <w:szCs w:val="32"/>
          <w:lang w:val="en-US" w:eastAsia="zh-CN"/>
        </w:rPr>
        <w:t>总局宁夏监管局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仿宋_GB2312" w:cs="Times New Roman"/>
          <w:b w:val="0"/>
          <w:bCs w:val="0"/>
          <w:color w:val="auto"/>
          <w:spacing w:val="0"/>
          <w:w w:val="100"/>
          <w:kern w:val="0"/>
          <w:sz w:val="32"/>
          <w:szCs w:val="32"/>
          <w:lang w:val="en-US" w:eastAsia="zh-CN"/>
        </w:rPr>
      </w:pPr>
      <w:r>
        <w:rPr>
          <w:rFonts w:hint="default" w:ascii="Times New Roman" w:hAnsi="Times New Roman" w:eastAsia="仿宋_GB2312" w:cs="Times New Roman"/>
          <w:b w:val="0"/>
          <w:bCs w:val="0"/>
          <w:color w:val="auto"/>
          <w:spacing w:val="0"/>
          <w:w w:val="100"/>
          <w:kern w:val="0"/>
          <w:sz w:val="32"/>
          <w:szCs w:val="32"/>
          <w:lang w:val="en-US" w:eastAsia="zh-CN"/>
        </w:rPr>
        <w:t>2025年8月</w:t>
      </w:r>
      <w:r>
        <w:rPr>
          <w:rFonts w:hint="eastAsia" w:ascii="Times New Roman" w:hAnsi="Times New Roman" w:eastAsia="仿宋_GB2312" w:cs="Times New Roman"/>
          <w:b w:val="0"/>
          <w:bCs w:val="0"/>
          <w:color w:val="auto"/>
          <w:spacing w:val="0"/>
          <w:w w:val="100"/>
          <w:kern w:val="0"/>
          <w:sz w:val="32"/>
          <w:szCs w:val="32"/>
          <w:lang w:val="en-US" w:eastAsia="zh-CN"/>
        </w:rPr>
        <w:t>25</w:t>
      </w:r>
      <w:r>
        <w:rPr>
          <w:rFonts w:hint="default" w:ascii="Times New Roman" w:hAnsi="Times New Roman" w:eastAsia="仿宋_GB2312" w:cs="Times New Roman"/>
          <w:b w:val="0"/>
          <w:bCs w:val="0"/>
          <w:color w:val="auto"/>
          <w:spacing w:val="0"/>
          <w:w w:val="100"/>
          <w:kern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pacing w:val="0"/>
          <w:w w:val="100"/>
          <w:kern w:val="0"/>
          <w:sz w:val="32"/>
          <w:szCs w:val="32"/>
          <w:lang w:val="en-US" w:eastAsia="zh-CN"/>
        </w:rPr>
      </w:pPr>
      <w:r>
        <w:rPr>
          <w:rFonts w:hint="eastAsia" w:ascii="仿宋_GB2312" w:hAnsi="仿宋_GB2312" w:eastAsia="仿宋_GB2312" w:cs="仿宋_GB2312"/>
          <w:b w:val="0"/>
          <w:bCs w:val="0"/>
          <w:color w:val="auto"/>
          <w:spacing w:val="0"/>
          <w:w w:val="100"/>
          <w:kern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国家葡萄及葡萄酒产业开放发展综合试验区</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要素价值评估管理办法（试行）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加强国家葡萄及葡萄酒产业开放发展综合试验区（以下简称“综试区”）葡萄园、葡萄酒等要素资产价值评估管理，规范评估行为，为深化要素市场化配置提供依据，根据《构建国家葡萄及葡萄酒产业开放发展综合试验区要素市场化配置体制机制实施方案》及资产评估方面的法律法规，结合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本办法适用于综试区范围内从事酿酒葡萄种植、葡萄酒生产经营等活动的经营主体。所称要素是指土地、资本、生态、数据、技术、品牌等具有经济价值的资产。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第三条</w:t>
      </w:r>
      <w:r>
        <w:rPr>
          <w:rFonts w:hint="default" w:ascii="Times New Roman" w:hAnsi="Times New Roman" w:eastAsia="仿宋_GB2312" w:cs="Times New Roman"/>
          <w:sz w:val="32"/>
          <w:szCs w:val="32"/>
        </w:rPr>
        <w:t xml:space="preserve"> 本办法所称要素价值评估，是指根据国家法律法规、资产评估相关准则的有关规定，在评估基准日，对要素资产特定目的下的价值进行分析、评定和估算，并形成专业意见的行为和过程。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自治区属及市属国有资产评估还应遵守《中华人民共和国企业国有资产法》《企业国有资产监督管理暂行条例》</w:t>
      </w:r>
      <w:r>
        <w:rPr>
          <w:rFonts w:hint="default" w:ascii="Times New Roman" w:hAnsi="Times New Roman" w:eastAsia="仿宋_GB2312" w:cs="Times New Roman"/>
          <w:spacing w:val="-11"/>
          <w:sz w:val="32"/>
          <w:szCs w:val="32"/>
        </w:rPr>
        <w:t>《国有资产评估管理办法》《企业国有资产评估管理暂行办法》等有关法律法规，规范国有资产评估行为，维护国有资产出资人合法权益。</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第二章  职责与分工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center"/>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由宁夏贺兰山东麓葡萄酒产业园区管委会（以下简称“贺兰山东麓园区管委会”）牵头，成立由经营主体、行业协会、银行、担保、保险、评估机构</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共同组成的要素价值评估机制，主要履行以下职责：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（一）牵头制定要素价值评估导则并组织实施；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（二）建立评估机构准入制度，组建专家库，实行动态管理；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（三）对要素价值评估项目进行监督管理；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（四）参与委托人组织的要素价值评估项目评审；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（五）应委托人提请，对争议性项目复议；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（六）建立要素价值评估项目档案资料库。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要素价值评估机构评估原则：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（一）要素价值评估机构和评估人员应当遵守国家相关法律、法规，遵照要素价值评估准则和技术规范，严格执业、诚实服务、恪守信用；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（二）要素价值评估机构应当依法独立、客观、公正开展业务，保证评估报告的客观、真实、合理；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（三）要素价值评估机构不得出具虚假评估报告或者有重大遗漏的评估报告。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方正黑体_GBK" w:hAnsi="方正黑体_GBK" w:eastAsia="方正黑体_GBK" w:cs="方正黑体_GBK"/>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 xml:space="preserve"> 评估机构选择与委托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第七条</w:t>
      </w:r>
      <w:r>
        <w:rPr>
          <w:rFonts w:hint="default" w:ascii="Times New Roman" w:hAnsi="Times New Roman" w:eastAsia="仿宋_GB2312" w:cs="Times New Roman"/>
          <w:sz w:val="32"/>
          <w:szCs w:val="32"/>
        </w:rPr>
        <w:t xml:space="preserve"> 自然人、法人或者其他组织需要确定要素价值的，应当从评估机构库委托评估机构评估。委托的要素价值评估机构应当具备下列条件：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（一）遵守国家有关法律法规及评估管理相关规定，近3年内没有违法违规从业记录；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（二）具有与评估事项相应的资质条件及专业人员；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（三）与委托人及相关方无经济利益关系。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第八条</w:t>
      </w:r>
      <w:r>
        <w:rPr>
          <w:rFonts w:hint="default" w:ascii="Times New Roman" w:hAnsi="Times New Roman" w:eastAsia="仿宋_GB2312" w:cs="Times New Roman"/>
          <w:sz w:val="32"/>
          <w:szCs w:val="32"/>
        </w:rPr>
        <w:t xml:space="preserve"> 委托人履行以下职责：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（一）明确要素价值评估目的、评估对象和范围；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（二）配合要素价值评估机构开展工作，不得以任何形式干预其正常执业行为；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（三）如实提供相关资料和情况，包括但不限于权属资料、酿酒葡萄种植经营资料、生产记录档案、产品检验检测报告等，并对所提供资料真实性、合法性和完整性负责，不得隐匿或者虚报。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需要招标确定评估机构的，应当遵守招投标管理有关规定。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第四章  评估程序</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第十条 </w:t>
      </w:r>
      <w:r>
        <w:rPr>
          <w:rFonts w:hint="default" w:ascii="Times New Roman" w:hAnsi="Times New Roman" w:eastAsia="仿宋_GB2312" w:cs="Times New Roman"/>
          <w:sz w:val="32"/>
          <w:szCs w:val="32"/>
        </w:rPr>
        <w:t>委托人应当与评估机构订立委托合同，约定双方的权利和义务。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对受理的评估业务，评估机构应当指定至少两名评估专业人员承办，并邀请拟评估要素相关领域行业专家参与。</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第十二条 </w:t>
      </w:r>
      <w:r>
        <w:rPr>
          <w:rFonts w:hint="default" w:ascii="Times New Roman" w:hAnsi="Times New Roman" w:eastAsia="仿宋_GB2312" w:cs="Times New Roman"/>
          <w:sz w:val="32"/>
          <w:szCs w:val="32"/>
        </w:rPr>
        <w:t>评估专业人员应当根据评估业务具体情况，对评估对象进行现场调查，收集权属证明、财务会计信息和其他资料并进行核查验证、分析整理。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评估专业人员应当恰当选择评估方法，除依据评估执业准则只能选择一种评估方法外，应当选择两种以上评估方法，经综合分析，形成评估结论，编制评估报告。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第十四条 </w:t>
      </w:r>
      <w:r>
        <w:rPr>
          <w:rFonts w:hint="default" w:ascii="Times New Roman" w:hAnsi="Times New Roman" w:eastAsia="仿宋_GB2312" w:cs="Times New Roman"/>
          <w:sz w:val="32"/>
          <w:szCs w:val="32"/>
        </w:rPr>
        <w:t>评估报告应当由至少两名承办该项业务的评估专业人员签名并加盖评估机构印章。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委托人对评估报告有异议的，可以要求评估机构解释。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第十六条 </w:t>
      </w:r>
      <w:r>
        <w:rPr>
          <w:rFonts w:hint="default" w:ascii="Times New Roman" w:hAnsi="Times New Roman" w:eastAsia="仿宋_GB2312" w:cs="Times New Roman"/>
          <w:sz w:val="32"/>
          <w:szCs w:val="32"/>
        </w:rPr>
        <w:t>委托人或者评估报告使用人应当按照法律规定和评估报告载明的使用范围使用评估报告。</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第五章  评估方法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第十七条 </w:t>
      </w:r>
      <w:r>
        <w:rPr>
          <w:rFonts w:hint="default" w:ascii="Times New Roman" w:hAnsi="Times New Roman" w:eastAsia="仿宋_GB2312" w:cs="Times New Roman"/>
          <w:sz w:val="32"/>
          <w:szCs w:val="32"/>
        </w:rPr>
        <w:t>应全面考虑各要素的特性，深入挖掘贺兰山东麓产区品牌、酒庄品牌、产品品牌赋能要素价值的潜力，综合运用评估方法，统筹开展价值评估。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（一）评估葡萄园应考虑开发成本、管护成本、种植密度、品种纯度、苗木保存率、灌溉方式、树体健康状况、亩产量、市场销售价格等指标。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（二）评估葡萄酒应考虑理化特性、感官评定、市场销售价格等指标。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第十八条 </w:t>
      </w:r>
      <w:r>
        <w:rPr>
          <w:rFonts w:hint="default" w:ascii="Times New Roman" w:hAnsi="Times New Roman" w:eastAsia="仿宋_GB2312" w:cs="Times New Roman"/>
          <w:sz w:val="32"/>
          <w:szCs w:val="32"/>
        </w:rPr>
        <w:t>评估方法主要包括市场法、收益法和成本法三种基本方法及其衍生方法。资产评估机构根据评估目的、价值类型、评估对象特点、评估方法的适用条件、评估方法应用所依据数据的质量和数量等恰当选择评估方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当采用收益法评估时，应当考虑收益法应用的前提条件：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（一）评估对象的未来收益可以合理预期并用货币计量；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（二）预期收益所对应的风险能够度量；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（三）收益期限能够确定或者合理预期。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第二十条 </w:t>
      </w:r>
      <w:r>
        <w:rPr>
          <w:rFonts w:hint="default" w:ascii="Times New Roman" w:hAnsi="Times New Roman" w:eastAsia="仿宋_GB2312" w:cs="Times New Roman"/>
          <w:sz w:val="32"/>
          <w:szCs w:val="32"/>
        </w:rPr>
        <w:t>采用市场法评估时，应当考虑市场法应用的前提条件：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（一）评估对象的可比参照物具有公开的市场，以及活跃的交易；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（二）有关交易的必要信息可以获得。</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当采用成本法评估时，应当考虑成本法应用的前提条件：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（一）评估对象能正常使用或者在用；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（二）评估对象能够通过重置途径获得；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（三）评估对象的重置成本以及相关贬值能够合理估算。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第六章</w:t>
      </w:r>
      <w:r>
        <w:rPr>
          <w:rFonts w:hint="eastAsia"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附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本办法若法律法规、行业另有规定、规范的按其相关规定执行。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本办法由贺兰山东麓园区管委会负责解释。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本办法自印发之日起试行，有效期2年。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国家葡萄及葡萄酒产业开放发展综合试验区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要素数字认证实施细则（试行）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方正黑体_GBK" w:hAnsi="方正黑体_GBK" w:eastAsia="方正黑体_GBK" w:cs="方正黑体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第一章</w:t>
      </w:r>
      <w:r>
        <w:rPr>
          <w:rFonts w:hint="eastAsia"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 xml:space="preserve"> 总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eastAsia="宋体"/>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有效规范宁夏葡萄酒产业要素数字认证行为，将各类资源要素形成有效资产，拓宽抵质押物范围，促进葡萄酒产业发展，根据《构建国家葡萄及葡萄酒产业开放发展综合试验区要素市场化配置体制机制实施方案》及有关法律法规，结合实际，制定本细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第二条 </w:t>
      </w:r>
      <w:r>
        <w:rPr>
          <w:rFonts w:hint="default" w:ascii="Times New Roman" w:hAnsi="Times New Roman" w:eastAsia="仿宋_GB2312" w:cs="Times New Roman"/>
          <w:sz w:val="32"/>
          <w:szCs w:val="32"/>
        </w:rPr>
        <w:t>凡在国家葡萄及葡萄酒产业开放发展综合试验区（以下简称“综试区”）从事葡萄酒产业数字认证服务的，适用本规定。法律、法规、规章另有规定的，从其规定。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第三条 </w:t>
      </w:r>
      <w:r>
        <w:rPr>
          <w:rFonts w:hint="default" w:ascii="Times New Roman" w:hAnsi="Times New Roman" w:eastAsia="仿宋_GB2312" w:cs="Times New Roman"/>
          <w:sz w:val="32"/>
          <w:szCs w:val="32"/>
        </w:rPr>
        <w:t>宁夏贺兰山东麓葡萄酒产业园区管委会（以下简称贺兰山东麓园区管委会）成立宁夏贺兰山东麓葡萄酒产业投资发展集团要素服务有限公司（以下简称要素服务公司），主要职责包括要素采集登记、要素评估管理、要素融资服务、要素托管服务、要素数字认证服务、要素市场化风险管理与数据应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夏国际葡萄酒交易博览中心（有限公司）（以下简称交易中心）构建要素服务系统（以下简称服务系统）。服务系统主要功能包括信息发布、采集登记、融资备案登记与管理、流转撮合交易、托管服务管理、数字认证管理、交易鉴证、数据统计与分析、要素市场化风险预警管理、葡萄酒现货电子交易等。</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sz w:val="32"/>
          <w:szCs w:val="32"/>
        </w:rPr>
      </w:pPr>
      <w:r>
        <w:rPr>
          <w:rFonts w:hint="eastAsia" w:ascii="黑体" w:hAnsi="黑体" w:eastAsia="黑体" w:cs="黑体"/>
          <w:sz w:val="32"/>
          <w:szCs w:val="32"/>
          <w:lang w:eastAsia="zh-CN"/>
        </w:rPr>
        <w:t>第二章</w:t>
      </w:r>
      <w:r>
        <w:rPr>
          <w:rFonts w:hint="eastAsia" w:ascii="黑体" w:hAnsi="黑体" w:eastAsia="黑体" w:cs="黑体"/>
          <w:sz w:val="32"/>
          <w:szCs w:val="32"/>
          <w:lang w:val="en-US" w:eastAsia="zh-CN"/>
        </w:rPr>
        <w:t xml:space="preserve">  </w:t>
      </w:r>
      <w:r>
        <w:rPr>
          <w:rFonts w:hint="default" w:ascii="方正黑体_GBK" w:hAnsi="方正黑体_GBK" w:eastAsia="方正黑体_GBK" w:cs="方正黑体_GBK"/>
          <w:sz w:val="32"/>
          <w:szCs w:val="32"/>
        </w:rPr>
        <w:t>管理机构、服务机构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贺兰山东麓园区管委会负责要素数字证书审核、制证、发放、复核、监管等。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第五条 </w:t>
      </w:r>
      <w:r>
        <w:rPr>
          <w:rFonts w:hint="default" w:ascii="Times New Roman" w:hAnsi="Times New Roman" w:eastAsia="仿宋_GB2312" w:cs="Times New Roman"/>
          <w:sz w:val="32"/>
          <w:szCs w:val="32"/>
        </w:rPr>
        <w:t>要素服务公司负责办理要素数字认证，主要职责包括：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（一）负责受理要素数字认证申请、资料审核等事宜；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（二）负责要素数字证书溯源管理、数据分析应用等。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第六条</w:t>
      </w:r>
      <w:r>
        <w:rPr>
          <w:rFonts w:hint="default" w:ascii="Times New Roman" w:hAnsi="Times New Roman" w:eastAsia="仿宋_GB2312" w:cs="Times New Roman"/>
          <w:sz w:val="32"/>
          <w:szCs w:val="32"/>
        </w:rPr>
        <w:t xml:space="preserve"> 产区所在地市、县（市、区）葡萄酒产业管理部门协助做好要素数字认证相关工作。</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 xml:space="preserve"> 认证类别、认证流程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第七条 </w:t>
      </w:r>
      <w:r>
        <w:rPr>
          <w:rFonts w:hint="default" w:ascii="Times New Roman" w:hAnsi="Times New Roman" w:eastAsia="仿宋_GB2312" w:cs="Times New Roman"/>
          <w:sz w:val="32"/>
          <w:szCs w:val="32"/>
        </w:rPr>
        <w:t>本细则所称要素数字认证，主要包括资源资产化数字认证服务和全链条数字认证服务。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第八条 </w:t>
      </w:r>
      <w:r>
        <w:rPr>
          <w:rFonts w:hint="default" w:ascii="Times New Roman" w:hAnsi="Times New Roman" w:eastAsia="仿宋_GB2312" w:cs="Times New Roman"/>
          <w:sz w:val="32"/>
          <w:szCs w:val="32"/>
        </w:rPr>
        <w:t>资源资产化数字认证服务主要是指对生物资产、存货资产、酒庄经营权、设施设备、生态价值等尚无权证的要素资源进行权属、价值评估，形成要素数字证书。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链条数字认证服务是指基于数字化技术与数据化管理，对葡萄酒、葡萄藤等产品全生命周期（含种植、酿造、贮存、销售、流通等环节大数据）的关键信息进行真实记录、不可篡改存储、便捷查询验证、可信第三方认证背书，形成要素数字证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第九条 </w:t>
      </w:r>
      <w:r>
        <w:rPr>
          <w:rFonts w:hint="default" w:ascii="Times New Roman" w:hAnsi="Times New Roman" w:eastAsia="仿宋_GB2312" w:cs="Times New Roman"/>
          <w:sz w:val="32"/>
          <w:szCs w:val="32"/>
        </w:rPr>
        <w:t>要素数字证书由经营主体发起申请。需进行资源资产化数字认证的要素资源价值，应当依照要素评估管理办法评估后，按规定提交制证；参与要素市场化配置的企业应当进行全链条数字认证，并与要素服务公司签署认证服务合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 xml:space="preserve">第十条 </w:t>
      </w:r>
      <w:r>
        <w:rPr>
          <w:rFonts w:hint="default" w:ascii="Times New Roman" w:hAnsi="Times New Roman" w:eastAsia="仿宋_GB2312" w:cs="Times New Roman"/>
          <w:sz w:val="32"/>
          <w:szCs w:val="32"/>
        </w:rPr>
        <w:t>要素权属情况有变更的，原则上需在一个月内进行申请办理资源资产化数字证书更新</w:t>
      </w:r>
      <w:r>
        <w:rPr>
          <w:rFonts w:hint="eastAsia" w:ascii="Times New Roman" w:hAnsi="Times New Roman" w:eastAsia="仿宋_GB2312" w:cs="Times New Roman"/>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第四章</w:t>
      </w:r>
      <w:r>
        <w:rPr>
          <w:rFonts w:hint="eastAsia"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数字证书应用与管理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资源资产化数字证书可通过服务系统查询包括权属情况、现状估值、抵质押情况等实时动态信息，为银行、保险、担保、风险处置、流转交易、托管合作等提供服务支撑。全链条数字证书可通过服务系统查询种植管护、绿色防控、检验检测、品质管控及要素交易等相关数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服务系统为要素数字证书进行全流程管理，运用区块链、加密等数字技术，实现数字证书时效性、权威性、公正性、实用性。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b/>
          <w:bCs/>
          <w:sz w:val="32"/>
          <w:szCs w:val="32"/>
        </w:rPr>
        <w:t xml:space="preserve">第十三条 </w:t>
      </w:r>
      <w:r>
        <w:rPr>
          <w:rFonts w:hint="default" w:ascii="Times New Roman" w:hAnsi="Times New Roman" w:eastAsia="仿宋_GB2312" w:cs="Times New Roman"/>
          <w:sz w:val="32"/>
          <w:szCs w:val="32"/>
        </w:rPr>
        <w:t>要素数字证书制证、补发、更新等收费标准，</w:t>
      </w:r>
      <w:r>
        <w:rPr>
          <w:rFonts w:hint="default" w:ascii="Times New Roman" w:hAnsi="Times New Roman" w:eastAsia="仿宋_GB2312" w:cs="Times New Roman"/>
          <w:spacing w:val="-11"/>
          <w:sz w:val="32"/>
          <w:szCs w:val="32"/>
        </w:rPr>
        <w:t>按照市场原则会同有关部门研究确定后，通过服务系统进行公开发布。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第五章</w:t>
      </w:r>
      <w:r>
        <w:rPr>
          <w:rFonts w:hint="default" w:ascii="方正黑体_GBK" w:hAnsi="方正黑体_GBK" w:eastAsia="方正黑体_GBK" w:cs="方正黑体_GBK"/>
          <w:sz w:val="32"/>
          <w:szCs w:val="32"/>
        </w:rPr>
        <w:t xml:space="preserve"> 法律责任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制证参与各方有违规违约行为，造成相关方损失的，依法承担法律责任。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 xml:space="preserve"> 附</w:t>
      </w:r>
      <w:r>
        <w:rPr>
          <w:rFonts w:hint="eastAsia"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本细则由贺兰山东麓园区管委会负责解释。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第十六条 </w:t>
      </w:r>
      <w:r>
        <w:rPr>
          <w:rFonts w:hint="default" w:ascii="Times New Roman" w:hAnsi="Times New Roman" w:eastAsia="仿宋_GB2312" w:cs="Times New Roman"/>
          <w:sz w:val="32"/>
          <w:szCs w:val="32"/>
        </w:rPr>
        <w:t>本细则自印发之日起试行，有效期2年。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国家葡萄及葡萄酒产业开放发展综合试验区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要素市场化融资服务实施细则（试行）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 xml:space="preserve"> 总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为有效规范宁夏葡萄酒产业要素融资服务，激活要素价值，打通资源变资产、资产变资金的转化机制，从根本上解决酒庄（企业）融资难题，根据《自治区党委 人民政府关于深化要素市场化配置改革的实施意见》《构建国家葡萄及葡萄酒产业开放发展综合试验区要素市场化配置体制机制实施方案》及有关法律法规，结合实际，制定本细则。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本细则所称葡萄酒产业要素主要包括但不限于：资产类要素，包括酒庄经营权、设施设备、生物资产、存货资产（葡萄酒原酒及成品酒）等；权证类要素，包括葡萄种植用地土地经营权、酒庄生产加工用地</w:t>
      </w:r>
      <w:r>
        <w:rPr>
          <w:rFonts w:hint="eastAsia" w:ascii="Times New Roman" w:hAnsi="Times New Roman" w:eastAsia="仿宋_GB2312" w:cs="Times New Roman"/>
          <w:sz w:val="32"/>
          <w:szCs w:val="32"/>
          <w:lang w:eastAsia="zh-CN"/>
        </w:rPr>
        <w:t>、土地使用权</w:t>
      </w:r>
      <w:r>
        <w:rPr>
          <w:rFonts w:hint="default" w:ascii="Times New Roman" w:hAnsi="Times New Roman" w:eastAsia="仿宋_GB2312" w:cs="Times New Roman"/>
          <w:sz w:val="32"/>
          <w:szCs w:val="32"/>
        </w:rPr>
        <w:t>等；其他类要素，包括专利技术、商标使用权、生态价值等。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第三条 </w:t>
      </w:r>
      <w:r>
        <w:rPr>
          <w:rFonts w:hint="default" w:ascii="Times New Roman" w:hAnsi="Times New Roman" w:eastAsia="仿宋_GB2312" w:cs="Times New Roman"/>
          <w:sz w:val="32"/>
          <w:szCs w:val="32"/>
        </w:rPr>
        <w:t>宁夏贺兰山东麓葡萄酒产业园区管委会（以下简称贺兰山东麓园区管委会）成立宁夏贺兰山东麓葡萄酒产业投资发展集团要素服务有限公司（以下简称要素服务公司），主要职责包括要素采集登记、要素评估管理、要素融资服务、要素托管服务、要素数字认证服务、要素市场化风险管理与数据应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夏国际葡萄酒交易博览中心（有限公司）（以下简称交易中心）构建要素服务系统（以下简称服务系统）。服务系统主要功能包括信息发布、采集登记、融资备案登记与管理、流转撮合交易、托管服务管理、数字认证管理、交易鉴证、数据统计与分析、要素市场化风险预警管理、葡萄酒现货电子交易等。</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本细则主要适用于葡萄酒产业要素作为抵质押担保，向金融机构申请贷款的融资活动。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left"/>
        <w:textAlignment w:val="auto"/>
        <w:rPr>
          <w:rFonts w:hint="default" w:ascii="方正黑体_GBK" w:hAnsi="方正黑体_GBK" w:eastAsia="方正黑体_GBK" w:cs="方正黑体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第二章</w:t>
      </w:r>
      <w:r>
        <w:rPr>
          <w:rFonts w:hint="eastAsia"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职责与分工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第五条 </w:t>
      </w:r>
      <w:r>
        <w:rPr>
          <w:rFonts w:hint="default" w:ascii="Times New Roman" w:hAnsi="Times New Roman" w:eastAsia="仿宋_GB2312" w:cs="Times New Roman"/>
          <w:sz w:val="32"/>
          <w:szCs w:val="32"/>
        </w:rPr>
        <w:t>要素服务公司负责要素融资服务，主要职责包括：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（一）负责受理要素融资服务申请、资料审核等相关事宜；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（二）负责对接银行、担保、保险等各类机构，提升要素融资服务能力；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（三）负责发放和管理要素抵质押登记证明书和融资备案证书；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（四）负责要素融资市场数据统计、分析及相关资料存档等工作。</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第三章  融资主体、期限、条件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第六条 </w:t>
      </w:r>
      <w:r>
        <w:rPr>
          <w:rFonts w:hint="default" w:ascii="Times New Roman" w:hAnsi="Times New Roman" w:eastAsia="仿宋_GB2312" w:cs="Times New Roman"/>
          <w:sz w:val="32"/>
          <w:szCs w:val="32"/>
        </w:rPr>
        <w:t>要素融资贷款机构系辖区内金融机构，贷款服务对象系拥有要素权属的企业法人。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第七条 </w:t>
      </w:r>
      <w:r>
        <w:rPr>
          <w:rFonts w:hint="default" w:ascii="Times New Roman" w:hAnsi="Times New Roman" w:eastAsia="仿宋_GB2312" w:cs="Times New Roman"/>
          <w:sz w:val="32"/>
          <w:szCs w:val="32"/>
        </w:rPr>
        <w:t>要素融资贷款的期限，由金融机构根据借款人的生产经营活动周期、信用状况和贷款用途等因素合理确定。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第八条 </w:t>
      </w:r>
      <w:r>
        <w:rPr>
          <w:rFonts w:hint="default" w:ascii="Times New Roman" w:hAnsi="Times New Roman" w:eastAsia="仿宋_GB2312" w:cs="Times New Roman"/>
          <w:sz w:val="32"/>
          <w:szCs w:val="32"/>
        </w:rPr>
        <w:t>通过合法途径取得的要素权益用于办理抵押融资、质押融资等，必须符合下列条件：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（一）抵质押人为具有完全民事行为能力、遵纪守法、诚实守信，能独立行使权力和承担义务的法人或者其他组织及自然人；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（二）要素权属清晰无争议；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（三）要素权属产权主体或者抵质押物共有人同意抵质押的，应出具同意抵质押的合法有效内部决议等证明文件；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（四）抵质押人信用记录良好，生产经营正常；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（五）金融机构规定的其他条件。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第九条 </w:t>
      </w:r>
      <w:r>
        <w:rPr>
          <w:rFonts w:hint="default" w:ascii="Times New Roman" w:hAnsi="Times New Roman" w:eastAsia="仿宋_GB2312" w:cs="Times New Roman"/>
          <w:sz w:val="32"/>
          <w:szCs w:val="32"/>
        </w:rPr>
        <w:t>要素权属有下列情况不得设定抵质押融资：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（一）司法机关依法裁定查封的；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（二）要素服务公司预审未通过的；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（三）要素权属有争议的；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（四）受其他形式限制的情形。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 xml:space="preserve"> 融资申请、受理、审核</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第十条 </w:t>
      </w:r>
      <w:r>
        <w:rPr>
          <w:rFonts w:hint="default" w:ascii="Times New Roman" w:hAnsi="Times New Roman" w:eastAsia="仿宋_GB2312" w:cs="Times New Roman"/>
          <w:sz w:val="32"/>
          <w:szCs w:val="32"/>
        </w:rPr>
        <w:t>要素融资申请、受理、审核备案在服务系统进行。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第十一条 </w:t>
      </w:r>
      <w:r>
        <w:rPr>
          <w:rFonts w:hint="default" w:ascii="Times New Roman" w:hAnsi="Times New Roman" w:eastAsia="仿宋_GB2312" w:cs="Times New Roman"/>
          <w:sz w:val="32"/>
          <w:szCs w:val="32"/>
        </w:rPr>
        <w:t>申请要素融资应向要素服务公司提供基本资料：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（一）借款人、抵质押人基本资料；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（二）权属证明材料；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（三）合法有效的确认决议；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（四）其他需提供的资料等。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要素服务公司受理借款人申请后，及时对借款人所提供资料的真实性和有效性进行预审。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第十三条 </w:t>
      </w:r>
      <w:r>
        <w:rPr>
          <w:rFonts w:hint="default" w:ascii="Times New Roman" w:hAnsi="Times New Roman" w:eastAsia="仿宋_GB2312" w:cs="Times New Roman"/>
          <w:sz w:val="32"/>
          <w:szCs w:val="32"/>
        </w:rPr>
        <w:t>要素服务公司预审通过后，将预审意见及相关材料提交贷款银行作为参考，需要融资担保的提交相应担保机构。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贷款银行受理申请后，根据需要可要求借款人补充其他证明材料，及时对借款人所提供资料的真实性和有效性进行调查核实。</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第十五条 </w:t>
      </w:r>
      <w:r>
        <w:rPr>
          <w:rFonts w:hint="default" w:ascii="Times New Roman" w:hAnsi="Times New Roman" w:eastAsia="仿宋_GB2312" w:cs="Times New Roman"/>
          <w:sz w:val="32"/>
          <w:szCs w:val="32"/>
        </w:rPr>
        <w:t>贷款银行审核通过后，与借款人、担保人签订借款合同、抵质押合同及相关附属文件。贷款银行如拒绝办理贷款，应向借款申请人说明理由。</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抵质押登记、公示、变更、注销</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第十六条 </w:t>
      </w:r>
      <w:r>
        <w:rPr>
          <w:rFonts w:hint="default" w:ascii="Times New Roman" w:hAnsi="Times New Roman" w:eastAsia="仿宋_GB2312" w:cs="Times New Roman"/>
          <w:sz w:val="32"/>
          <w:szCs w:val="32"/>
        </w:rPr>
        <w:t>要素抵质押融资实行登记制度，登记种类不包括国家法律、法规规定的有抵质押登记专属机构的要素。</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第十七条 </w:t>
      </w:r>
      <w:r>
        <w:rPr>
          <w:rFonts w:hint="default" w:ascii="Times New Roman" w:hAnsi="Times New Roman" w:eastAsia="仿宋_GB2312" w:cs="Times New Roman"/>
          <w:sz w:val="32"/>
          <w:szCs w:val="32"/>
        </w:rPr>
        <w:t>办理抵质押融资登记应当提交下列资料：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（一）要素抵质押融资登记信息表；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（二）相应资质证明材料；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（三）借款合同和协议；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（四）其他资料。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银行在服务系统完成抵质押融资登记，由要素服务公司出具要素抵质押登记证明书（如需）和融资备案证书后，贷款银行进入贷款发放程序。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要素融资实行公示制度，服务系统根据登记信息，对要素类别、授信银行、抵质押物信息、授信金额、贷款起止日期等信息进行公示。抵质押期间，未经抵质押权人同意，抵质押人不得将抵质押物进行再次抵质押或者流转。</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第二十条 </w:t>
      </w:r>
      <w:r>
        <w:rPr>
          <w:rFonts w:hint="default" w:ascii="Times New Roman" w:hAnsi="Times New Roman" w:eastAsia="仿宋_GB2312" w:cs="Times New Roman"/>
          <w:sz w:val="32"/>
          <w:szCs w:val="32"/>
        </w:rPr>
        <w:t>抵质押人在抵质押期间要求变更抵质押登记的，应当由抵质押权人出具债务履行完毕或者其他同意变更材料；如需延长抵质押期限，延长期限不得超过要素产权规定剩余期限及贷款银行规定的展期等期限。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抵质押融资贷款到期，债务履行完毕后，抵质押当事人凭贷款结清凭证和解押通知书及时在服务系统办理抵质押注销。</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抵质押权实现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抵质押期间，原则上不允许进行抵质押财产转让。若确需转让抵质押财产的，应当及时通知抵质押权人。抵质押权人可以要求抵质押人将转让所得的价款向抵质押权人提前清偿债务。抵质押期间，发生抵质押物权证延长期限或者换发证件等变更相关事项，应当通知抵质押权人，抵质押权人核实认定价值发生重大变化，影响债权实现的，有权要求抵质押人追加其他担保人（或者物）或者提前收回贷款，维护抵质押权人正当权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当抵质押人为自然人，其死亡、被人民法院依法宣告死亡或者宣告失踪时，其设定抵押或质押的财产作为遗产由继承人承继或者由人民法院指定的财产代管人管理。该主体变动不影响既存抵押权或者质权的效力，抵质押权人仍有权依法就该抵押财产或者质押财产主张优先受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抵质押人为法人，其解散、被宣告破产、被吊销营业执照、责令关闭或者被撤销等导致其主体资格终止的情形发生时，设定抵质押的财产纳入清算财产范围，由清算义务人、破产管理人或者法律规定的其他接管主体负责管理、变价和分配。此情形下，既存抵质押权的效力不受影响，抵质押权人依法仍对该抵质押财产享有优先受偿权（在破产程序中，该权利依法构成别除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第二十四条</w:t>
      </w:r>
      <w:r>
        <w:rPr>
          <w:rFonts w:hint="default" w:ascii="Times New Roman" w:hAnsi="Times New Roman" w:eastAsia="仿宋_GB2312" w:cs="Times New Roman"/>
          <w:sz w:val="32"/>
          <w:szCs w:val="32"/>
        </w:rPr>
        <w:t xml:space="preserve"> 抵质押权与其担保的债权同时存在，债权消亡的，抵质押权也消亡。抵质押权消亡的，应当注销抵质押登记。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土地被依法征收或者征用，导致抵质押权消亡的，其补偿款及债权应当按有关法律规定处理。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黑体_GBK" w:hAnsi="方正黑体_GBK" w:eastAsia="方正黑体_GBK" w:cs="方正黑体_GBK"/>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 xml:space="preserve"> 风险管理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第二十六条</w:t>
      </w:r>
      <w:r>
        <w:rPr>
          <w:rFonts w:hint="default" w:ascii="Times New Roman" w:hAnsi="Times New Roman" w:eastAsia="仿宋_GB2312" w:cs="Times New Roman"/>
          <w:sz w:val="32"/>
          <w:szCs w:val="32"/>
        </w:rPr>
        <w:t xml:space="preserve"> 贷款银行应加强对客户贷款资金使用情况的监督，如发现借款人有明显违约或者还款能力减弱情况的，应在获得相关信息后立即进行贷后检查，在服务系统及时反馈，协同要素服务公司开展风险预警管理，并提出解决方案及措施，适时启动托管服务。如发现借款人贷款资金流入证券市场、期货市场、房地产、股权投资或者国家限制的领域，银行有权提前收回贷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rPr>
        <w:t xml:space="preserve"> 有抵质押担保借款的，要素服务公司、担保公司和贷款银行应加强对抵质押物监管，对抵质押物价值发生较大变化的，要及时追加其他担保，确保贷款资金安全。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sz w:val="32"/>
          <w:szCs w:val="32"/>
        </w:rPr>
        <w:t xml:space="preserve"> 积极争取各级财政对金融创新、融资担保及要素服务的支持政策；建立要素市场化风险共担、风险补偿机制。</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第二十九条</w:t>
      </w:r>
      <w:r>
        <w:rPr>
          <w:rFonts w:hint="default" w:ascii="Times New Roman" w:hAnsi="Times New Roman" w:eastAsia="仿宋_GB2312" w:cs="Times New Roman"/>
          <w:sz w:val="32"/>
          <w:szCs w:val="32"/>
        </w:rPr>
        <w:t xml:space="preserve"> 债务履行期届满不能按合同偿还的，按照国家法律法规以及要素市场化风险管理实施细则处置。</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第三十条 </w:t>
      </w:r>
      <w:r>
        <w:rPr>
          <w:rFonts w:hint="default" w:ascii="Times New Roman" w:hAnsi="Times New Roman" w:eastAsia="仿宋_GB2312" w:cs="Times New Roman"/>
          <w:sz w:val="32"/>
          <w:szCs w:val="32"/>
        </w:rPr>
        <w:t>本细则未尽事项根据相关法律法规、贷款操作规程等办理。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第三十一条</w:t>
      </w:r>
      <w:r>
        <w:rPr>
          <w:rFonts w:hint="default" w:ascii="Times New Roman" w:hAnsi="Times New Roman" w:eastAsia="仿宋_GB2312" w:cs="Times New Roman"/>
          <w:sz w:val="32"/>
          <w:szCs w:val="32"/>
        </w:rPr>
        <w:t xml:space="preserve"> 本细则由贺兰山东麓园区管委会负责解释。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第三十二条 </w:t>
      </w:r>
      <w:r>
        <w:rPr>
          <w:rFonts w:hint="default" w:ascii="Times New Roman" w:hAnsi="Times New Roman" w:eastAsia="仿宋_GB2312" w:cs="Times New Roman"/>
          <w:sz w:val="32"/>
          <w:szCs w:val="32"/>
        </w:rPr>
        <w:t>本细则自印发之日起试行，有效期2年。</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国家葡萄及葡萄酒产业开放发展综合试验区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要素市场化流转实施细则（试行）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第一章</w:t>
      </w:r>
      <w:r>
        <w:rPr>
          <w:rFonts w:hint="eastAsia"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总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为有效规范宁夏葡萄酒产业要素流转市场交易行为，保障经营主体的合法权益，激活要素价值，促进葡萄酒产业发展，根据《自治区党委 人民政府关于深化要素市场化配置改革的实施意见》《构建国家葡萄及葡萄酒产业开放发展综合试验区要素市场化配置体制机制实施方案》及有关法律法规，结合实际，制定本细则。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第二条</w:t>
      </w:r>
      <w:r>
        <w:rPr>
          <w:rFonts w:hint="default" w:ascii="Times New Roman" w:hAnsi="Times New Roman" w:eastAsia="仿宋_GB2312" w:cs="Times New Roman"/>
          <w:sz w:val="32"/>
          <w:szCs w:val="32"/>
        </w:rPr>
        <w:t xml:space="preserve"> 凡在国家葡萄及葡萄酒产业开放发展综合试验区（以下简称“综试区”）从事葡萄酒产业要素流转活动的，适用本细则。法律、法规、规章另有规定的，从其规定。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第三条 </w:t>
      </w:r>
      <w:r>
        <w:rPr>
          <w:rFonts w:hint="default" w:ascii="Times New Roman" w:hAnsi="Times New Roman" w:eastAsia="仿宋_GB2312" w:cs="Times New Roman"/>
          <w:sz w:val="32"/>
          <w:szCs w:val="32"/>
        </w:rPr>
        <w:t>宁夏国际葡萄酒交易博览中心（有限公司）（以下简称交易中心）构建要素服务系统（以下简称服务系统）。服务系统主要功能包括信息发布、采集登记、融资备案登记与管理、流转撮合交易、托管服务管理、数字认证管理、交易鉴证、数据统计与分析、要素市场化风险预警管理、葡萄酒现货电子交易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 xml:space="preserve"> 服务机构、监管机构</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第四条 </w:t>
      </w:r>
      <w:r>
        <w:rPr>
          <w:rFonts w:hint="default" w:ascii="Times New Roman" w:hAnsi="Times New Roman" w:eastAsia="仿宋_GB2312" w:cs="Times New Roman"/>
          <w:sz w:val="32"/>
          <w:szCs w:val="32"/>
        </w:rPr>
        <w:t>交易中心负责要素市场流转交易相关工作，主要职责包括：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（一）负责执行要素市场化流转实施细则；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（二）负责受理要素流转交易的申请、资料预审等相关事宜；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（三）负责登记发布要素流转交易信息、组织开展交易、进行交易鉴证、发布成交公告等；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（四）负责服务系统数据统计、分析及相关资料存档工作；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（五）负责发放交易鉴证书。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宁夏贺兰山东麓葡萄酒产业园区管委会（以下简称贺兰山东麓园区管委会）是交易中心的监管机构，负责工作协调和监管。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第六条 </w:t>
      </w:r>
      <w:r>
        <w:rPr>
          <w:rFonts w:hint="default" w:ascii="Times New Roman" w:hAnsi="Times New Roman" w:eastAsia="仿宋_GB2312" w:cs="Times New Roman"/>
          <w:sz w:val="32"/>
          <w:szCs w:val="32"/>
        </w:rPr>
        <w:t>进入服务系统的银行、担保、保险、评估、社会化组织等机构遵循相关制度管理，且应当具备下列条件：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（一）依法批准设立，具有良好信誉和经营业绩；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（二）遵守国家法律、法规、规章和政策，近三年内无重大违法行为记录；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（三）遵守服务系统的各项规章制度和业务规则；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（四）书面承诺为要素市场化提供优质服务。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符合条件的法人或者其他组织，经审核或者经公开招募，可以成为服务系统的服务组织。</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服务系统依据要素权属分类实行归口管理，产区所在地市、县（市、区）葡萄酒产业要素权属管理部门等，按各自职责协助服务系统完善各类产权、经营权等要素数据，协助要素权属真实性线上审核与管理。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流转范围、方式和程序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第八条 </w:t>
      </w:r>
      <w:r>
        <w:rPr>
          <w:rFonts w:hint="default" w:ascii="Times New Roman" w:hAnsi="Times New Roman" w:eastAsia="仿宋_GB2312" w:cs="Times New Roman"/>
          <w:sz w:val="32"/>
          <w:szCs w:val="32"/>
        </w:rPr>
        <w:t>要素流转交易服务范围主要包括但不限于依法可以交易的各类经营主体的资产、要素资源及收益权等。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第九条 </w:t>
      </w:r>
      <w:r>
        <w:rPr>
          <w:rFonts w:hint="default" w:ascii="Times New Roman" w:hAnsi="Times New Roman" w:eastAsia="仿宋_GB2312" w:cs="Times New Roman"/>
          <w:sz w:val="32"/>
          <w:szCs w:val="32"/>
        </w:rPr>
        <w:t>综试区范围内涉及国有和集体葡萄种植及葡萄酒生产相关的资源性资产、可经营性资产等进行流转交易，鼓励通过服务系统进行交易。列入公共资源交易目录的，服务系统应通过数据共享方式，将交易结果共享至公共资源交易平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第十条 </w:t>
      </w:r>
      <w:r>
        <w:rPr>
          <w:rFonts w:hint="default" w:ascii="Times New Roman" w:hAnsi="Times New Roman" w:eastAsia="仿宋_GB2312" w:cs="Times New Roman"/>
          <w:sz w:val="32"/>
          <w:szCs w:val="32"/>
        </w:rPr>
        <w:t>鼓励和引导已经办理不动产权证的个人或者企业，通过服务系统进行要素登记、信息发布、流转交易等。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第十一条 </w:t>
      </w:r>
      <w:r>
        <w:rPr>
          <w:rFonts w:hint="default" w:ascii="Times New Roman" w:hAnsi="Times New Roman" w:eastAsia="仿宋_GB2312" w:cs="Times New Roman"/>
          <w:sz w:val="32"/>
          <w:szCs w:val="32"/>
        </w:rPr>
        <w:t>要素流转交易必须符合法律、法规和有关文件规定。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要素流转交易活动中的转出方和意向受让方均可以直接向交易中心申请流转交易服务。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转出方申请要素流转交易的应提交下列材料：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（一）要素流转信息发布申请书；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（二）委托服务协议；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（三）需要流转的要素基本情况材料；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（四）主体资格证明材料或者其他有效证明；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（五）权属证明材料；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（六）委托办理交易手续的，需提交授权委托书及受托方主体资格证明、法定代表人或者负责人身份证；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（七）具有法律效力的决议、合同等相关资料；已经将经营权托管至受托方的，由受托方出具相关托管权益证明与同意流转的有效决议；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（八）交易中心要求提交的其他资料等。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第十四条 </w:t>
      </w:r>
      <w:r>
        <w:rPr>
          <w:rFonts w:hint="default" w:ascii="Times New Roman" w:hAnsi="Times New Roman" w:eastAsia="仿宋_GB2312" w:cs="Times New Roman"/>
          <w:sz w:val="32"/>
          <w:szCs w:val="32"/>
        </w:rPr>
        <w:t>意向受让方申请要素流转受让的，应当提交下列材料：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（一）要素流转受让申请书；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（二）意向受让方的声明与保证；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（三）符合受让资格条件的证明文件（包括但不限于上一年度财务审计报告、营业执照等）；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（四）委托代理的，需提交授权委托书及受托人身份证；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（五）联合受让的，需提交联合受让协议书、代表推举书；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（六）交易中心要求提交的其他资料。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交易中心对意向受让方提交的申请及材料进行齐全性、合规性审核，对符合条件的意向受让方进行登记。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交易中心对交易申请及相关材料依法登记审查、产权查档和权属确认。</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交易中心依据征集到的受让方情况确定交易方式并组织交易：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（一）在项目信息发布期满后，征集到一个符合条件的意向受让方的，采取协议方式进行交易；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（二）在项目信息发布期满后，征集到两个及以上符合条件的意向受让方时，根据交易标的具体情况采取竞价撮合等方式实施交易。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转出方与受让方达成交易意向并签订交易确认书后，应当在7个工作日内签订统一制式流转交易合同。交易合同经转出方和受让方签字、盖章后，由交易中心审核，出具要素流转交易鉴证书。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第十八条 </w:t>
      </w:r>
      <w:r>
        <w:rPr>
          <w:rFonts w:hint="default" w:ascii="Times New Roman" w:hAnsi="Times New Roman" w:eastAsia="仿宋_GB2312" w:cs="Times New Roman"/>
          <w:sz w:val="32"/>
          <w:szCs w:val="32"/>
        </w:rPr>
        <w:t>在交易中心进行流转交易的转出方、受让方，凭借要素流转交易鉴证书和相关材料到相关职能部门办理变更手续。</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流转行为规范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第十九条</w:t>
      </w:r>
      <w:r>
        <w:rPr>
          <w:rFonts w:hint="default" w:ascii="Times New Roman" w:hAnsi="Times New Roman" w:eastAsia="仿宋_GB2312" w:cs="Times New Roman"/>
          <w:sz w:val="32"/>
          <w:szCs w:val="32"/>
        </w:rPr>
        <w:t xml:space="preserve"> 要素流转交易过程中，有下列情形之一的，经服务系统确认后中止交易：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（一）相关行政主管部门提出中止交易的；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（二）交易中心认为有必要中止交易的；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（三）其他依法应当中止交易的情形。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第二十条 </w:t>
      </w:r>
      <w:r>
        <w:rPr>
          <w:rFonts w:hint="default" w:ascii="Times New Roman" w:hAnsi="Times New Roman" w:eastAsia="仿宋_GB2312" w:cs="Times New Roman"/>
          <w:sz w:val="32"/>
          <w:szCs w:val="32"/>
        </w:rPr>
        <w:t>要素流转交易过程中，有下列情形之一的，经服务系统确认后终止交易：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（一）相关行政主管部门提出终止交易的；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（二）人民法院、仲裁机构依法发出终止交易书面通知的；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（三）交易中心认为有必要终止交易的；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（四）其他依法应当终止交易的情形。</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第二十一条 </w:t>
      </w:r>
      <w:r>
        <w:rPr>
          <w:rFonts w:hint="default" w:ascii="Times New Roman" w:hAnsi="Times New Roman" w:eastAsia="仿宋_GB2312" w:cs="Times New Roman"/>
          <w:sz w:val="32"/>
          <w:szCs w:val="32"/>
        </w:rPr>
        <w:t>要素流转交易过程中禁止下列行为：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（一）操纵交易现场或者扰乱交易秩序的；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（二）有损于转出方、受让方进行公平交易的；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（三）法律、法规、规章禁止的其他行为。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要素流转交易应当在服务系统进行，对客户资金实行第三方存管制度，由交易中心按规定做好资金监管和收付业务，并由贺兰山东麓园区管委会履行资金监管职责。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第二十三条</w:t>
      </w:r>
      <w:r>
        <w:rPr>
          <w:rFonts w:hint="default" w:ascii="Times New Roman" w:hAnsi="Times New Roman" w:eastAsia="仿宋_GB2312" w:cs="Times New Roman"/>
          <w:sz w:val="32"/>
          <w:szCs w:val="32"/>
        </w:rPr>
        <w:t xml:space="preserve"> 受让方应当在合同约定的期限内，将交易价款支付到交易中心。交易中心扣除要素流转服务费、登记、交易鉴证、托管服务费等，按</w:t>
      </w:r>
      <w:r>
        <w:rPr>
          <w:rFonts w:hint="eastAsia" w:ascii="Times New Roman" w:hAnsi="Times New Roman" w:eastAsia="仿宋_GB2312" w:cs="Times New Roman"/>
          <w:sz w:val="32"/>
          <w:szCs w:val="32"/>
          <w:lang w:val="en-US" w:eastAsia="zh-CN"/>
        </w:rPr>
        <w:t>第三方存管</w:t>
      </w:r>
      <w:r>
        <w:rPr>
          <w:rFonts w:hint="default" w:ascii="Times New Roman" w:hAnsi="Times New Roman" w:eastAsia="仿宋_GB2312" w:cs="Times New Roman"/>
          <w:sz w:val="32"/>
          <w:szCs w:val="32"/>
        </w:rPr>
        <w:t>相关约定进行支付。未成交的意向受让方所缴纳的交易保证金，在规定的时间内无息退还。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第二十四条 </w:t>
      </w:r>
      <w:r>
        <w:rPr>
          <w:rFonts w:hint="default" w:ascii="Times New Roman" w:hAnsi="Times New Roman" w:eastAsia="仿宋_GB2312" w:cs="Times New Roman"/>
          <w:sz w:val="32"/>
          <w:szCs w:val="32"/>
        </w:rPr>
        <w:t>要素流转服务等收费标准，由交易中心根据市场化原则会同相关部门研究确定，通过服务系统进行公开发布。</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争议处理和法律责任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第二十五条</w:t>
      </w:r>
      <w:r>
        <w:rPr>
          <w:rFonts w:hint="default" w:ascii="Times New Roman" w:hAnsi="Times New Roman" w:eastAsia="仿宋_GB2312" w:cs="Times New Roman"/>
          <w:sz w:val="32"/>
          <w:szCs w:val="32"/>
        </w:rPr>
        <w:t xml:space="preserve"> 交易过程中，发生交易纠纷的，当事人可向贺兰山东麓园区管委会申请调解，也可以依据合同的约定申请仲裁或者依法向人民法院提起诉讼。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第二十六条 </w:t>
      </w:r>
      <w:r>
        <w:rPr>
          <w:rFonts w:hint="default" w:ascii="Times New Roman" w:hAnsi="Times New Roman" w:eastAsia="仿宋_GB2312" w:cs="Times New Roman"/>
          <w:sz w:val="32"/>
          <w:szCs w:val="32"/>
        </w:rPr>
        <w:t>交易双方有违规违约行为，造成相关方损失的，依法承担法律责任。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附</w:t>
      </w:r>
      <w:r>
        <w:rPr>
          <w:rFonts w:hint="eastAsia" w:ascii="方正黑体_GBK" w:hAnsi="方正黑体_GBK" w:eastAsia="方正黑体_GBK" w:cs="方正黑体_GBK"/>
          <w:sz w:val="32"/>
          <w:szCs w:val="32"/>
          <w:lang w:val="en-US" w:eastAsia="zh-CN"/>
        </w:rPr>
        <w:t xml:space="preserve">  </w:t>
      </w:r>
      <w:r>
        <w:rPr>
          <w:rFonts w:hint="default" w:ascii="方正黑体_GBK" w:hAnsi="方正黑体_GBK" w:eastAsia="方正黑体_GBK" w:cs="方正黑体_GBK"/>
          <w:sz w:val="32"/>
          <w:szCs w:val="32"/>
        </w:rPr>
        <w:t>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第二十七条</w:t>
      </w:r>
      <w:r>
        <w:rPr>
          <w:rFonts w:hint="default" w:ascii="Times New Roman" w:hAnsi="Times New Roman" w:eastAsia="仿宋_GB2312" w:cs="Times New Roman"/>
          <w:sz w:val="32"/>
          <w:szCs w:val="32"/>
        </w:rPr>
        <w:t xml:space="preserve"> 本细则由贺兰山东麓园区管委会负责解释。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第二十八条</w:t>
      </w:r>
      <w:r>
        <w:rPr>
          <w:rFonts w:hint="default" w:ascii="Times New Roman" w:hAnsi="Times New Roman" w:eastAsia="仿宋_GB2312" w:cs="Times New Roman"/>
          <w:sz w:val="32"/>
          <w:szCs w:val="32"/>
        </w:rPr>
        <w:t xml:space="preserve"> 本细则自印发之日起试行，有效期2年。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国家葡萄及葡萄酒产业开放发展综合试验区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要素市场化托管服务实施细则（试行）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8"/>
        </w:numPr>
        <w:kinsoku/>
        <w:wordWrap/>
        <w:overflowPunct/>
        <w:topLinePunct w:val="0"/>
        <w:autoSpaceDE/>
        <w:autoSpaceDN/>
        <w:bidi w:val="0"/>
        <w:adjustRightInd/>
        <w:snapToGrid/>
        <w:spacing w:line="55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 xml:space="preserve"> 总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0" w:lineRule="exact"/>
        <w:jc w:val="both"/>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第一条 </w:t>
      </w:r>
      <w:r>
        <w:rPr>
          <w:rFonts w:hint="default" w:ascii="Times New Roman" w:hAnsi="Times New Roman" w:eastAsia="仿宋_GB2312" w:cs="Times New Roman"/>
          <w:sz w:val="32"/>
          <w:szCs w:val="32"/>
        </w:rPr>
        <w:t>为有效规范宁夏葡萄酒产业要素托管服务市场行为，激活要素资源价值，实现资源配置效率最优化、效益最大化和要素市场化风险闭环管理，根据《自治区党委 人民政府关于深化要素市场化配置改革的实施意见》《构建国家葡萄及葡萄酒产业开放发展综合试验区要素市场化配置体制机制实施方案》及有关法律法规，结合实际，制定本细则。</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第二条 </w:t>
      </w:r>
      <w:r>
        <w:rPr>
          <w:rFonts w:hint="default" w:ascii="Times New Roman" w:hAnsi="Times New Roman" w:eastAsia="仿宋_GB2312" w:cs="Times New Roman"/>
          <w:sz w:val="32"/>
          <w:szCs w:val="32"/>
        </w:rPr>
        <w:t>凡在国家葡萄及葡萄酒产业开放发展综合试验区（以下简称“综试区”）从事葡萄酒产业要素托管服务的，适用本细则。法律、法规、规章另有规定的，从其规定。</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第三条 </w:t>
      </w:r>
      <w:r>
        <w:rPr>
          <w:rFonts w:hint="default" w:ascii="Times New Roman" w:hAnsi="Times New Roman" w:eastAsia="仿宋_GB2312" w:cs="Times New Roman"/>
          <w:sz w:val="32"/>
          <w:szCs w:val="32"/>
        </w:rPr>
        <w:t>宁夏贺兰山东麓葡萄酒产业园区管委会（以下简称贺兰山东麓园区管委会）成立宁夏贺兰山东麓葡萄酒产业投资发展集团要素服务有限公司（以下简称要素服务公司），主要职责包括要素采集登记、要素评估管理、要素融资服务、要素托管服务、要素数字认证服务、要素市场化风险管理与数据应用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夏国际葡萄酒交易博览中心（有限公司）（以下简称交易中心）构建要素服务系统（以下简称服务系统）。服务系统主要功能包括信息发布、采集登记、融资备案登记与管理、流转撮合交易、托管服务管理、数字认证管理、交易鉴证、数据统计与分析、要素市场化风险预警管理、葡萄酒现货电子交易等。</w:t>
      </w:r>
    </w:p>
    <w:p>
      <w:pPr>
        <w:pStyle w:val="2"/>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default"/>
        </w:rPr>
      </w:pPr>
    </w:p>
    <w:p>
      <w:pPr>
        <w:keepNext w:val="0"/>
        <w:keepLines w:val="0"/>
        <w:pageBreakBefore w:val="0"/>
        <w:widowControl w:val="0"/>
        <w:numPr>
          <w:ilvl w:val="0"/>
          <w:numId w:val="8"/>
        </w:numPr>
        <w:kinsoku/>
        <w:wordWrap/>
        <w:overflowPunct/>
        <w:topLinePunct w:val="0"/>
        <w:autoSpaceDE/>
        <w:autoSpaceDN/>
        <w:bidi w:val="0"/>
        <w:adjustRightInd/>
        <w:snapToGrid/>
        <w:spacing w:line="55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管理机构、监管机构、服务主体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要素服务公司为要素托管市场提供相关服务，主要职责包括：</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（一）负责执行要素托管服务实施细则；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（二）负责受理要素托管服务申请、资料审核等事宜；</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（三）负责登记、发布要素托管服务内容与公告等；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（四）负责托管经营的监管；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（五）负责要素托管市场数据统计、分析、应用等工作。</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第五条 </w:t>
      </w:r>
      <w:r>
        <w:rPr>
          <w:rFonts w:hint="default" w:ascii="Times New Roman" w:hAnsi="Times New Roman" w:eastAsia="仿宋_GB2312" w:cs="Times New Roman"/>
          <w:sz w:val="32"/>
          <w:szCs w:val="32"/>
        </w:rPr>
        <w:t>贺兰山东麓园区管委会是要素服务公司和服务系统的监管机构，指导开展要素托管服务各项工作。</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第六条 </w:t>
      </w:r>
      <w:r>
        <w:rPr>
          <w:rFonts w:hint="default" w:ascii="Times New Roman" w:hAnsi="Times New Roman" w:eastAsia="仿宋_GB2312" w:cs="Times New Roman"/>
          <w:sz w:val="32"/>
          <w:szCs w:val="32"/>
        </w:rPr>
        <w:t>有关市、县（市、区）葡萄酒产业管理部门配合贺兰山东麓园区管委会，负责出具相应材料，支持要素托管服务合作及业务开展。</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第七条 </w:t>
      </w:r>
      <w:r>
        <w:rPr>
          <w:rFonts w:hint="default" w:ascii="Times New Roman" w:hAnsi="Times New Roman" w:eastAsia="仿宋_GB2312" w:cs="Times New Roman"/>
          <w:sz w:val="32"/>
          <w:szCs w:val="32"/>
        </w:rPr>
        <w:t>参与要素托管服务的主体要符合托管服务的准入条件，由要素服务公司制定服务主体准入制度。</w:t>
      </w:r>
    </w:p>
    <w:p>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rPr>
      </w:pPr>
    </w:p>
    <w:p>
      <w:pPr>
        <w:keepNext w:val="0"/>
        <w:keepLines w:val="0"/>
        <w:pageBreakBefore w:val="0"/>
        <w:widowControl w:val="0"/>
        <w:numPr>
          <w:ilvl w:val="0"/>
          <w:numId w:val="8"/>
        </w:numPr>
        <w:kinsoku/>
        <w:wordWrap/>
        <w:overflowPunct/>
        <w:topLinePunct w:val="0"/>
        <w:autoSpaceDE/>
        <w:autoSpaceDN/>
        <w:bidi w:val="0"/>
        <w:adjustRightInd/>
        <w:snapToGrid/>
        <w:spacing w:line="550" w:lineRule="exact"/>
        <w:ind w:left="0" w:lef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托管类别、服务原则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b/>
          <w:bCs/>
          <w:sz w:val="32"/>
          <w:szCs w:val="32"/>
        </w:rPr>
        <w:t xml:space="preserve">第八条 </w:t>
      </w:r>
      <w:r>
        <w:rPr>
          <w:rFonts w:hint="default" w:ascii="Times New Roman" w:hAnsi="Times New Roman" w:eastAsia="仿宋_GB2312" w:cs="Times New Roman"/>
          <w:sz w:val="32"/>
          <w:szCs w:val="32"/>
        </w:rPr>
        <w:t>本细则所称葡萄种植用地土地经营权托管服务，是指托管服务组织尊重经营主体的意愿，</w:t>
      </w:r>
      <w:r>
        <w:rPr>
          <w:rFonts w:hint="default" w:ascii="Times New Roman" w:hAnsi="Times New Roman" w:eastAsia="仿宋_GB2312" w:cs="Times New Roman"/>
          <w:spacing w:val="-11"/>
          <w:sz w:val="32"/>
          <w:szCs w:val="32"/>
        </w:rPr>
        <w:t>在不流转土地经营权的前提下，提供葡萄种植用地土地经营权托管和酒庄经营权托管等服务。</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本细则所称抵质押权益托管服务，是指为有效规范要素市场化风险管理、要素资产处置等，要素服务公司按合同行使托管服务权益，进行公开托管交易的服务方式。</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第十条 </w:t>
      </w:r>
      <w:r>
        <w:rPr>
          <w:rFonts w:hint="default" w:ascii="Times New Roman" w:hAnsi="Times New Roman" w:eastAsia="仿宋_GB2312" w:cs="Times New Roman"/>
          <w:sz w:val="32"/>
          <w:szCs w:val="32"/>
        </w:rPr>
        <w:t xml:space="preserve"> 本细则所称产业链托管服务，是指由专业化服务组织根据产业链各类主体在产供销等环节的实际需要，实行供、种、防、收、储、加、销等全程化或者部分环节菜单式服务。</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其他托管服务。依据要素市场化需求，采用除上述三种服务方式之外的托管服务。</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第十二条</w:t>
      </w:r>
      <w:r>
        <w:rPr>
          <w:rFonts w:hint="default" w:ascii="Times New Roman" w:hAnsi="Times New Roman" w:eastAsia="仿宋_GB2312" w:cs="Times New Roman"/>
          <w:sz w:val="32"/>
          <w:szCs w:val="32"/>
        </w:rPr>
        <w:t xml:space="preserve"> 坚持以市场为主导的服务原则，充分发挥市场配置资源的决定性作用，积极推动资源要素优化配置，促进服务供给与服务需求有效衔接。</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第十三条</w:t>
      </w:r>
      <w:r>
        <w:rPr>
          <w:rFonts w:hint="default" w:ascii="Times New Roman" w:hAnsi="Times New Roman" w:eastAsia="仿宋_GB2312" w:cs="Times New Roman"/>
          <w:sz w:val="32"/>
          <w:szCs w:val="32"/>
        </w:rPr>
        <w:t xml:space="preserve"> 要素服务公司为各类权益主体提供要素托管服务，应在合作各方自愿基础上，经协商一致并签署合同后开展服务。有关市、县（市、区）葡萄酒产业管理部门引导产区葡萄酒企业参与要素托管服务，维护经营主体合法财产权和其他合法权益，增强抵抗市场风险能力。</w:t>
      </w:r>
    </w:p>
    <w:p>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rPr>
      </w:pPr>
    </w:p>
    <w:p>
      <w:pPr>
        <w:keepNext w:val="0"/>
        <w:keepLines w:val="0"/>
        <w:pageBreakBefore w:val="0"/>
        <w:widowControl w:val="0"/>
        <w:numPr>
          <w:ilvl w:val="0"/>
          <w:numId w:val="8"/>
        </w:numPr>
        <w:kinsoku/>
        <w:wordWrap/>
        <w:overflowPunct/>
        <w:topLinePunct w:val="0"/>
        <w:autoSpaceDE/>
        <w:autoSpaceDN/>
        <w:bidi w:val="0"/>
        <w:adjustRightInd/>
        <w:snapToGrid/>
        <w:spacing w:line="55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托管方式和程序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第十四条</w:t>
      </w:r>
      <w:r>
        <w:rPr>
          <w:rFonts w:hint="default" w:ascii="Times New Roman" w:hAnsi="Times New Roman" w:eastAsia="仿宋_GB2312" w:cs="Times New Roman"/>
          <w:sz w:val="32"/>
          <w:szCs w:val="32"/>
        </w:rPr>
        <w:t xml:space="preserve"> 要素托管服务活动中的各类主体和服务主体，可以直接向要素服务公司申请要素托管服务。</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申请要素托管服务应提交下列材料：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（一）要素托管申请书；</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（二）相应权属或者权益证明材料，以及所涉及托管服务范围的土地、葡萄园等勘测定界图；</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（三）具有法律效力的决议、合同等相关资料；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（四）涉及农民承包权益保障的相关协议（若有）；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（五）主体资格证明材料或者其他有效证明；</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（六）代为办理的须提交法人身份证和授权委托书；</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（七）其他资料等。</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对相关材料依法审查、登记、产权查档和权属确认，审核通过后进入服务系统。</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第十七条</w:t>
      </w:r>
      <w:r>
        <w:rPr>
          <w:rFonts w:hint="default" w:ascii="Times New Roman" w:hAnsi="Times New Roman" w:eastAsia="仿宋_GB2312" w:cs="Times New Roman"/>
          <w:sz w:val="32"/>
          <w:szCs w:val="32"/>
        </w:rPr>
        <w:t xml:space="preserve"> 由要素服务公司统一制定要素托管服务合同，行使托管权利。</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第十八条</w:t>
      </w:r>
      <w:r>
        <w:rPr>
          <w:rFonts w:hint="default" w:ascii="Times New Roman" w:hAnsi="Times New Roman" w:eastAsia="仿宋_GB2312" w:cs="Times New Roman"/>
          <w:sz w:val="32"/>
          <w:szCs w:val="32"/>
        </w:rPr>
        <w:t xml:space="preserve"> 要素服务公司公开招募专业服务主体，招募办法由要素服务公司另行制定。拟招募的服务主体进行5个工作日公示，无异议后签署托管合同。</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第十九条 </w:t>
      </w:r>
      <w:r>
        <w:rPr>
          <w:rFonts w:hint="default" w:ascii="Times New Roman" w:hAnsi="Times New Roman" w:eastAsia="仿宋_GB2312" w:cs="Times New Roman"/>
          <w:sz w:val="32"/>
          <w:szCs w:val="32"/>
        </w:rPr>
        <w:t>服务主体应按合同约定开展托管服务。</w:t>
      </w:r>
    </w:p>
    <w:p>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rPr>
      </w:pPr>
    </w:p>
    <w:p>
      <w:pPr>
        <w:keepNext w:val="0"/>
        <w:keepLines w:val="0"/>
        <w:pageBreakBefore w:val="0"/>
        <w:widowControl w:val="0"/>
        <w:numPr>
          <w:ilvl w:val="0"/>
          <w:numId w:val="8"/>
        </w:numPr>
        <w:kinsoku/>
        <w:wordWrap/>
        <w:overflowPunct/>
        <w:topLinePunct w:val="0"/>
        <w:autoSpaceDE/>
        <w:autoSpaceDN/>
        <w:bidi w:val="0"/>
        <w:adjustRightInd/>
        <w:snapToGrid/>
        <w:spacing w:line="55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托管行为规范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第二十条 </w:t>
      </w:r>
      <w:r>
        <w:rPr>
          <w:rFonts w:hint="default" w:ascii="Times New Roman" w:hAnsi="Times New Roman" w:eastAsia="仿宋_GB2312" w:cs="Times New Roman"/>
          <w:sz w:val="32"/>
          <w:szCs w:val="32"/>
        </w:rPr>
        <w:t>要素托管服务过程中禁止下列行为：</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（一）操纵市场或扰乱市场秩序的；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（二）有损于委托方、受托方权利或者权益的；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（三）法律、法规、规章禁止的其他行为。</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第二十一条</w:t>
      </w:r>
      <w:r>
        <w:rPr>
          <w:rFonts w:hint="default" w:ascii="Times New Roman" w:hAnsi="Times New Roman" w:eastAsia="仿宋_GB2312" w:cs="Times New Roman"/>
          <w:sz w:val="32"/>
          <w:szCs w:val="32"/>
        </w:rPr>
        <w:t xml:space="preserve"> 托管业务应当在服务系统进行，对客户资金实行第三方存管制度，由交易中心按规定做好资金的监管和收付业务，并由贺兰山东麓园区管委会履行资金监管职责。</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第二十二条</w:t>
      </w:r>
      <w:r>
        <w:rPr>
          <w:rFonts w:hint="default" w:ascii="Times New Roman" w:hAnsi="Times New Roman" w:eastAsia="仿宋_GB2312" w:cs="Times New Roman"/>
          <w:sz w:val="32"/>
          <w:szCs w:val="32"/>
        </w:rPr>
        <w:t xml:space="preserve"> 要素托管服务等收费标准，要素服务公司按照市场化原则会同相关部门研究确定，通过服务系统公开发布。</w:t>
      </w:r>
    </w:p>
    <w:p>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rPr>
      </w:pPr>
    </w:p>
    <w:p>
      <w:pPr>
        <w:keepNext w:val="0"/>
        <w:keepLines w:val="0"/>
        <w:pageBreakBefore w:val="0"/>
        <w:widowControl w:val="0"/>
        <w:numPr>
          <w:ilvl w:val="0"/>
          <w:numId w:val="8"/>
        </w:numPr>
        <w:kinsoku/>
        <w:wordWrap/>
        <w:overflowPunct/>
        <w:topLinePunct w:val="0"/>
        <w:autoSpaceDE/>
        <w:autoSpaceDN/>
        <w:bidi w:val="0"/>
        <w:adjustRightInd/>
        <w:snapToGrid/>
        <w:spacing w:line="55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争议处理和法律责任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第二十三条 </w:t>
      </w:r>
      <w:r>
        <w:rPr>
          <w:rFonts w:hint="default" w:ascii="Times New Roman" w:hAnsi="Times New Roman" w:eastAsia="仿宋_GB2312" w:cs="Times New Roman"/>
          <w:sz w:val="32"/>
          <w:szCs w:val="32"/>
        </w:rPr>
        <w:t>托管服务中发生纠纷的，当事人可向贺兰山东麓园区管委会申请调解，也可以依据合同的约定申请仲裁或者依法向人民法院提起诉讼。</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第二十四条 </w:t>
      </w:r>
      <w:r>
        <w:rPr>
          <w:rFonts w:hint="default" w:ascii="Times New Roman" w:hAnsi="Times New Roman" w:eastAsia="仿宋_GB2312" w:cs="Times New Roman"/>
          <w:sz w:val="32"/>
          <w:szCs w:val="32"/>
        </w:rPr>
        <w:t>托管服务各方有违规违约行为，造成相关方损失的，依法承担法律责任。</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方正黑体_GBK" w:hAnsi="方正黑体_GBK" w:eastAsia="方正黑体_GBK" w:cs="方正黑体_GBK"/>
          <w:sz w:val="32"/>
          <w:szCs w:val="32"/>
        </w:rPr>
      </w:pPr>
    </w:p>
    <w:p>
      <w:pPr>
        <w:keepNext w:val="0"/>
        <w:keepLines w:val="0"/>
        <w:pageBreakBefore w:val="0"/>
        <w:widowControl w:val="0"/>
        <w:numPr>
          <w:ilvl w:val="0"/>
          <w:numId w:val="8"/>
        </w:numPr>
        <w:kinsoku/>
        <w:wordWrap/>
        <w:overflowPunct/>
        <w:topLinePunct w:val="0"/>
        <w:autoSpaceDE/>
        <w:autoSpaceDN/>
        <w:bidi w:val="0"/>
        <w:adjustRightInd/>
        <w:snapToGrid/>
        <w:spacing w:line="55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 xml:space="preserve"> 附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第二十五条 </w:t>
      </w:r>
      <w:r>
        <w:rPr>
          <w:rFonts w:hint="default" w:ascii="Times New Roman" w:hAnsi="Times New Roman" w:eastAsia="仿宋_GB2312" w:cs="Times New Roman"/>
          <w:sz w:val="32"/>
          <w:szCs w:val="32"/>
        </w:rPr>
        <w:t>本细则由贺兰山东麓园区管委会负责解释。</w:t>
      </w:r>
    </w:p>
    <w:p>
      <w:pPr>
        <w:keepNext w:val="0"/>
        <w:keepLines w:val="0"/>
        <w:pageBreakBefore w:val="0"/>
        <w:widowControl w:val="0"/>
        <w:kinsoku/>
        <w:wordWrap/>
        <w:overflowPunct/>
        <w:topLinePunct w:val="0"/>
        <w:autoSpaceDE/>
        <w:autoSpaceDN/>
        <w:bidi w:val="0"/>
        <w:adjustRightInd/>
        <w:snapToGrid/>
        <w:spacing w:line="55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第二十六条 </w:t>
      </w:r>
      <w:r>
        <w:rPr>
          <w:rFonts w:hint="default" w:ascii="Times New Roman" w:hAnsi="Times New Roman" w:eastAsia="仿宋_GB2312" w:cs="Times New Roman"/>
          <w:sz w:val="32"/>
          <w:szCs w:val="32"/>
        </w:rPr>
        <w:t>本细则自印发之日起试行，有效期2年。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国家葡萄及葡萄酒产业开放发展综合试验区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要素市场化风险管理实施细则（试行）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 xml:space="preserve"> 总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第一条</w:t>
      </w:r>
      <w:r>
        <w:rPr>
          <w:rFonts w:hint="default" w:ascii="Times New Roman" w:hAnsi="Times New Roman" w:eastAsia="仿宋_GB2312" w:cs="Times New Roman"/>
          <w:sz w:val="32"/>
          <w:szCs w:val="32"/>
        </w:rPr>
        <w:t xml:space="preserve"> 为有效规范宁夏葡萄酒产业要素市场化风险管理与处置流程，根据《自治区党委 人民政府关于深化要素市场化配置改革的实施意见》《构建国家葡萄及葡萄酒产业开放发展综合试验区要素市场化配置体制机制实施方案》等精神，结合实际，特制定本细则。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第二条 </w:t>
      </w:r>
      <w:r>
        <w:rPr>
          <w:rFonts w:hint="default" w:ascii="Times New Roman" w:hAnsi="Times New Roman" w:eastAsia="仿宋_GB2312" w:cs="Times New Roman"/>
          <w:sz w:val="32"/>
          <w:szCs w:val="32"/>
        </w:rPr>
        <w:t>本细则所称葡萄酒产业要素市场化风险管理主要指要素市场化投融资过程中的风险防范与处置。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第三条 </w:t>
      </w:r>
      <w:r>
        <w:rPr>
          <w:rFonts w:hint="default" w:ascii="Times New Roman" w:hAnsi="Times New Roman" w:eastAsia="仿宋_GB2312" w:cs="Times New Roman"/>
          <w:sz w:val="32"/>
          <w:szCs w:val="32"/>
        </w:rPr>
        <w:t>宁夏贺兰山东麓葡萄酒产业园区管委会（以下简称贺兰山东麓园区管委会）成立宁夏贺兰山东麓葡萄酒产业投资发展集团要素服务有限公司（以下简称要素服务公司），主要职责包括要素采集登记、要素评估管理、要素融资服务、要素托管服务、要素数字认证服务、要素市场化风险管理与数据应用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夏国际葡萄酒交易博览中心（有限公司）（以下简称交易中心）构建要素服务系统（以下简称服务系统）。服务系统主要功能包括信息发布、采集登记、融资备案登记与管理、流转撮合交易、托管服务管理、数字认证管理、交易鉴证、数据统计与分析、要素市场化风险预警管理、葡萄酒现货电子交易等。</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 xml:space="preserve"> 服务单位及其职能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第四条</w:t>
      </w:r>
      <w:r>
        <w:rPr>
          <w:rFonts w:hint="default" w:ascii="Times New Roman" w:hAnsi="Times New Roman" w:eastAsia="仿宋_GB2312" w:cs="Times New Roman"/>
          <w:sz w:val="32"/>
          <w:szCs w:val="32"/>
        </w:rPr>
        <w:t xml:space="preserve"> 要素服务公司为要素风险管理提供相关服务，主要职责包括：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（一）负责执行要素市场化风险管理实施细则；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（二）负责要素风险分析及预警、受理风险处置的申请、资料预审等相关事宜；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（三）负责登记发布风险托管、流转风险处置信息，组织开展托管管理、流转处置及协助实施追偿等；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（四）负责风险管理数据统计、分析、反馈及相关资料存档工作。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第五条</w:t>
      </w:r>
      <w:r>
        <w:rPr>
          <w:rFonts w:hint="default" w:ascii="Times New Roman" w:hAnsi="Times New Roman" w:eastAsia="仿宋_GB2312" w:cs="Times New Roman"/>
          <w:sz w:val="32"/>
          <w:szCs w:val="32"/>
        </w:rPr>
        <w:t xml:space="preserve"> 贺兰山东麓园区管委会是要素服务公司和服务系统的监管机构，指导开展要素市场化风险管理各项工作。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第六条 </w:t>
      </w:r>
      <w:r>
        <w:rPr>
          <w:rFonts w:hint="default" w:ascii="Times New Roman" w:hAnsi="Times New Roman" w:eastAsia="仿宋_GB2312" w:cs="Times New Roman"/>
          <w:sz w:val="32"/>
          <w:szCs w:val="32"/>
        </w:rPr>
        <w:t>争取国家政府性融资担保政策，建立要素市场化风险共担、风险补偿机制，积极争取各级财政通过资本金补充、风险补偿、担保费补贴、业务奖补等方式对政策性担保机构给予支持，充分发挥担保机构的增信、分险、赋能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鼓励引导担保机构、再担保机构、银行等参与风险分担体系，担保业务发生风险代偿后，由共同参与风险分担的机构，按照约定的比例方式进行风险分担。</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第七条 </w:t>
      </w:r>
      <w:r>
        <w:rPr>
          <w:rFonts w:hint="default" w:ascii="Times New Roman" w:hAnsi="Times New Roman" w:eastAsia="仿宋_GB2312" w:cs="Times New Roman"/>
          <w:sz w:val="32"/>
          <w:szCs w:val="32"/>
        </w:rPr>
        <w:t>银行机构积极创新要素融资信贷产品，为葡萄酒产业主体融资提供信贷资金。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第八条 </w:t>
      </w:r>
      <w:r>
        <w:rPr>
          <w:rFonts w:hint="default" w:ascii="Times New Roman" w:hAnsi="Times New Roman" w:eastAsia="仿宋_GB2312" w:cs="Times New Roman"/>
          <w:sz w:val="32"/>
          <w:szCs w:val="32"/>
        </w:rPr>
        <w:t>融资担保公司以生产要素抵质押、要素托管等形式作反担保，积极为葡萄酒产业主体融资提供担保。</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第九条</w:t>
      </w:r>
      <w:r>
        <w:rPr>
          <w:rFonts w:hint="default" w:ascii="Times New Roman" w:hAnsi="Times New Roman" w:eastAsia="仿宋_GB2312" w:cs="Times New Roman"/>
          <w:sz w:val="32"/>
          <w:szCs w:val="32"/>
        </w:rPr>
        <w:t xml:space="preserve"> 保险公司发挥保险的融资增信功能，大力推动研发要素流转融资托管配套的保险产品。</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风险管理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第十条 </w:t>
      </w:r>
      <w:r>
        <w:rPr>
          <w:rFonts w:hint="default" w:ascii="Times New Roman" w:hAnsi="Times New Roman" w:eastAsia="仿宋_GB2312" w:cs="Times New Roman"/>
          <w:sz w:val="32"/>
          <w:szCs w:val="32"/>
        </w:rPr>
        <w:t>贺兰山东麓园区管委会会同金融监管部门共同建立经营主体“高质量发展名录”管理制度，要素服务公司依据名录开展相关业务。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第十一条</w:t>
      </w:r>
      <w:r>
        <w:rPr>
          <w:rFonts w:hint="default" w:ascii="Times New Roman" w:hAnsi="Times New Roman" w:eastAsia="仿宋_GB2312" w:cs="Times New Roman"/>
          <w:sz w:val="32"/>
          <w:szCs w:val="32"/>
        </w:rPr>
        <w:t xml:space="preserve"> 经服务系统进行抵质押登记公开公示的，抵质押权人的权利应受到相应保障。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第十二条 </w:t>
      </w:r>
      <w:r>
        <w:rPr>
          <w:rFonts w:hint="default" w:ascii="Times New Roman" w:hAnsi="Times New Roman" w:eastAsia="仿宋_GB2312" w:cs="Times New Roman"/>
          <w:sz w:val="32"/>
          <w:szCs w:val="32"/>
        </w:rPr>
        <w:t>要素服务公司对通过要素服务系统投融资的项目进行风险监控和分析，建立风险预警制度，对经营异常的项目及时进行风险预警，经相关方现场确认风险后，开展防范和处置工作。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第十三条 </w:t>
      </w:r>
      <w:r>
        <w:rPr>
          <w:rFonts w:hint="default" w:ascii="Times New Roman" w:hAnsi="Times New Roman" w:eastAsia="仿宋_GB2312" w:cs="Times New Roman"/>
          <w:sz w:val="32"/>
          <w:szCs w:val="32"/>
        </w:rPr>
        <w:t>要素服务公司对已签署抵质押权益托管服务的贷款项目，按合同规定启动托管服务流程，进行要素市场化风险管理。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 xml:space="preserve">第十四条 </w:t>
      </w:r>
      <w:r>
        <w:rPr>
          <w:rFonts w:hint="default" w:ascii="Times New Roman" w:hAnsi="Times New Roman" w:eastAsia="仿宋_GB2312" w:cs="Times New Roman"/>
          <w:sz w:val="32"/>
          <w:szCs w:val="32"/>
        </w:rPr>
        <w:t>托管管理后所得收益扣除相关管理服务等费用后，优先偿还债权人本金、利息或收益，收益超过债权数额部分划归抵质押人（或借款人）。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第十五条</w:t>
      </w:r>
      <w:r>
        <w:rPr>
          <w:rFonts w:hint="default" w:ascii="Times New Roman" w:hAnsi="Times New Roman" w:eastAsia="仿宋_GB2312" w:cs="Times New Roman"/>
          <w:sz w:val="32"/>
          <w:szCs w:val="32"/>
        </w:rPr>
        <w:t xml:space="preserve"> 托管服务未达成效、贷款项目仍然逾期，要素服务公司应对逾期项目、贷款合同、逾期记录等进行建档登记，并协助相关方做好贷款项目后续处置工作。</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附  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第十六条</w:t>
      </w:r>
      <w:r>
        <w:rPr>
          <w:rFonts w:hint="default" w:ascii="Times New Roman" w:hAnsi="Times New Roman" w:eastAsia="仿宋_GB2312" w:cs="Times New Roman"/>
          <w:sz w:val="32"/>
          <w:szCs w:val="32"/>
        </w:rPr>
        <w:t xml:space="preserve"> 本细则由贺兰山东麓园区管委会负责解释。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 xml:space="preserve">第十七条 </w:t>
      </w:r>
      <w:r>
        <w:rPr>
          <w:rFonts w:hint="default" w:ascii="Times New Roman" w:hAnsi="Times New Roman" w:eastAsia="仿宋_GB2312" w:cs="Times New Roman"/>
          <w:sz w:val="32"/>
          <w:szCs w:val="32"/>
        </w:rPr>
        <w:t>本细则自印发之日起试行，有效期2年</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sz w:val="32"/>
          <w:szCs w:val="32"/>
          <w:lang w:eastAsia="zh-CN"/>
        </w:rPr>
      </w:pPr>
    </w:p>
    <w:tbl>
      <w:tblPr>
        <w:tblStyle w:val="6"/>
        <w:tblpPr w:leftFromText="180" w:rightFromText="180" w:vertAnchor="text" w:horzAnchor="page" w:tblpX="1677" w:tblpY="5372"/>
        <w:tblOverlap w:val="never"/>
        <w:tblW w:w="8844"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2" w:hRule="atLeast"/>
        </w:trPr>
        <w:tc>
          <w:tcPr>
            <w:tcW w:w="8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240" w:firstLineChars="100"/>
              <w:jc w:val="both"/>
              <w:textAlignment w:val="auto"/>
              <w:rPr>
                <w:rFonts w:hint="default" w:ascii="Times New Roman" w:hAnsi="Times New Roman" w:eastAsia="仿宋_GB2312" w:cs="Times New Roman"/>
                <w:spacing w:val="-20"/>
                <w:sz w:val="28"/>
                <w:szCs w:val="28"/>
              </w:rPr>
            </w:pPr>
            <w:r>
              <w:rPr>
                <w:rFonts w:hint="default" w:ascii="Times New Roman" w:hAnsi="Times New Roman" w:eastAsia="仿宋_GB2312" w:cs="Times New Roman"/>
                <w:spacing w:val="-20"/>
                <w:sz w:val="28"/>
                <w:szCs w:val="28"/>
              </w:rPr>
              <w:t>宁夏贺兰山东麓葡萄酒产业园区管委会综合处</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cs="Times New Roman"/>
                <w:sz w:val="28"/>
                <w:szCs w:val="28"/>
                <w:lang w:val="en-US" w:eastAsia="zh-CN"/>
              </w:rPr>
              <w:t>8</w:t>
            </w:r>
            <w:r>
              <w:rPr>
                <w:rFonts w:hint="default" w:ascii="Times New Roman" w:hAnsi="Times New Roman" w:eastAsia="仿宋_GB2312" w:cs="Times New Roman"/>
                <w:sz w:val="28"/>
                <w:szCs w:val="28"/>
              </w:rPr>
              <w:t>月</w:t>
            </w:r>
            <w:r>
              <w:rPr>
                <w:rFonts w:hint="eastAsia" w:ascii="Times New Roman" w:hAnsi="Times New Roman" w:cs="Times New Roman"/>
                <w:sz w:val="28"/>
                <w:szCs w:val="28"/>
                <w:lang w:val="en-US" w:eastAsia="zh-CN"/>
              </w:rPr>
              <w:t>25</w:t>
            </w:r>
            <w:r>
              <w:rPr>
                <w:rFonts w:hint="default" w:ascii="Times New Roman" w:hAnsi="Times New Roman" w:eastAsia="仿宋_GB2312" w:cs="Times New Roman"/>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eastAsia="仿宋_GB231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eastAsia="仿宋_GB231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eastAsia="仿宋_GB231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rPr>
      </w:pPr>
    </w:p>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rPr>
          <w:rFonts w:hint="default" w:ascii="Times New Roman" w:hAnsi="Times New Roman" w:eastAsia="黑体" w:cs="Times New Roman"/>
          <w:sz w:val="32"/>
          <w:szCs w:val="32"/>
          <w:lang w:val="en-US" w:eastAsia="zh-CN"/>
        </w:rPr>
      </w:pPr>
    </w:p>
    <w:sectPr>
      <w:footerReference r:id="rId3"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ACBB6"/>
    <w:multiLevelType w:val="singleLevel"/>
    <w:tmpl w:val="9FBACBB6"/>
    <w:lvl w:ilvl="0" w:tentative="0">
      <w:start w:val="3"/>
      <w:numFmt w:val="chineseCounting"/>
      <w:suff w:val="space"/>
      <w:lvlText w:val="第%1章"/>
      <w:lvlJc w:val="left"/>
      <w:rPr>
        <w:rFonts w:hint="eastAsia"/>
      </w:rPr>
    </w:lvl>
  </w:abstractNum>
  <w:abstractNum w:abstractNumId="1">
    <w:nsid w:val="B7FBCF05"/>
    <w:multiLevelType w:val="singleLevel"/>
    <w:tmpl w:val="B7FBCF05"/>
    <w:lvl w:ilvl="0" w:tentative="0">
      <w:start w:val="6"/>
      <w:numFmt w:val="chineseCounting"/>
      <w:suff w:val="space"/>
      <w:lvlText w:val="第%1章"/>
      <w:lvlJc w:val="left"/>
      <w:rPr>
        <w:rFonts w:hint="eastAsia"/>
      </w:rPr>
    </w:lvl>
  </w:abstractNum>
  <w:abstractNum w:abstractNumId="2">
    <w:nsid w:val="CDF15800"/>
    <w:multiLevelType w:val="singleLevel"/>
    <w:tmpl w:val="CDF15800"/>
    <w:lvl w:ilvl="0" w:tentative="0">
      <w:start w:val="1"/>
      <w:numFmt w:val="chineseCounting"/>
      <w:suff w:val="space"/>
      <w:lvlText w:val="第%1章"/>
      <w:lvlJc w:val="left"/>
      <w:rPr>
        <w:rFonts w:hint="eastAsia"/>
      </w:rPr>
    </w:lvl>
  </w:abstractNum>
  <w:abstractNum w:abstractNumId="3">
    <w:nsid w:val="DBAA9BFF"/>
    <w:multiLevelType w:val="singleLevel"/>
    <w:tmpl w:val="DBAA9BFF"/>
    <w:lvl w:ilvl="0" w:tentative="0">
      <w:start w:val="14"/>
      <w:numFmt w:val="chineseCounting"/>
      <w:suff w:val="space"/>
      <w:lvlText w:val="第%1条"/>
      <w:lvlJc w:val="left"/>
      <w:rPr>
        <w:rFonts w:hint="eastAsia"/>
        <w:b/>
        <w:bCs/>
      </w:rPr>
    </w:lvl>
  </w:abstractNum>
  <w:abstractNum w:abstractNumId="4">
    <w:nsid w:val="E77EBBD2"/>
    <w:multiLevelType w:val="singleLevel"/>
    <w:tmpl w:val="E77EBBD2"/>
    <w:lvl w:ilvl="0" w:tentative="0">
      <w:start w:val="1"/>
      <w:numFmt w:val="chineseCounting"/>
      <w:suff w:val="space"/>
      <w:lvlText w:val="第%1章"/>
      <w:lvlJc w:val="left"/>
      <w:rPr>
        <w:rFonts w:hint="eastAsia"/>
      </w:rPr>
    </w:lvl>
  </w:abstractNum>
  <w:abstractNum w:abstractNumId="5">
    <w:nsid w:val="EE67C558"/>
    <w:multiLevelType w:val="singleLevel"/>
    <w:tmpl w:val="EE67C558"/>
    <w:lvl w:ilvl="0" w:tentative="0">
      <w:start w:val="3"/>
      <w:numFmt w:val="chineseCounting"/>
      <w:suff w:val="space"/>
      <w:lvlText w:val="第%1章"/>
      <w:lvlJc w:val="left"/>
      <w:rPr>
        <w:rFonts w:hint="eastAsia"/>
      </w:rPr>
    </w:lvl>
  </w:abstractNum>
  <w:abstractNum w:abstractNumId="6">
    <w:nsid w:val="FB93BF43"/>
    <w:multiLevelType w:val="singleLevel"/>
    <w:tmpl w:val="FB93BF43"/>
    <w:lvl w:ilvl="0" w:tentative="0">
      <w:start w:val="1"/>
      <w:numFmt w:val="chineseCounting"/>
      <w:suff w:val="space"/>
      <w:lvlText w:val="第%1章"/>
      <w:lvlJc w:val="left"/>
      <w:rPr>
        <w:rFonts w:hint="eastAsia"/>
      </w:rPr>
    </w:lvl>
  </w:abstractNum>
  <w:abstractNum w:abstractNumId="7">
    <w:nsid w:val="FBB61BF1"/>
    <w:multiLevelType w:val="singleLevel"/>
    <w:tmpl w:val="FBB61BF1"/>
    <w:lvl w:ilvl="0" w:tentative="0">
      <w:start w:val="4"/>
      <w:numFmt w:val="chineseCounting"/>
      <w:suff w:val="space"/>
      <w:lvlText w:val="第%1条"/>
      <w:lvlJc w:val="left"/>
      <w:rPr>
        <w:rFonts w:hint="eastAsia"/>
      </w:rPr>
    </w:lvl>
  </w:abstractNum>
  <w:abstractNum w:abstractNumId="8">
    <w:nsid w:val="31DE9CD6"/>
    <w:multiLevelType w:val="singleLevel"/>
    <w:tmpl w:val="31DE9CD6"/>
    <w:lvl w:ilvl="0" w:tentative="0">
      <w:start w:val="7"/>
      <w:numFmt w:val="chineseCounting"/>
      <w:suff w:val="space"/>
      <w:lvlText w:val="第%1条"/>
      <w:lvlJc w:val="left"/>
      <w:rPr>
        <w:rFonts w:hint="eastAsia"/>
      </w:rPr>
    </w:lvl>
  </w:abstractNum>
  <w:num w:numId="1">
    <w:abstractNumId w:val="0"/>
  </w:num>
  <w:num w:numId="2">
    <w:abstractNumId w:val="5"/>
  </w:num>
  <w:num w:numId="3">
    <w:abstractNumId w:val="3"/>
  </w:num>
  <w:num w:numId="4">
    <w:abstractNumId w:val="1"/>
  </w:num>
  <w:num w:numId="5">
    <w:abstractNumId w:val="6"/>
  </w:num>
  <w:num w:numId="6">
    <w:abstractNumId w:val="7"/>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DE69B"/>
    <w:rsid w:val="1DAE8BAC"/>
    <w:rsid w:val="2E760F95"/>
    <w:rsid w:val="3BC74324"/>
    <w:rsid w:val="3DBF380A"/>
    <w:rsid w:val="3EFFC649"/>
    <w:rsid w:val="469B37D1"/>
    <w:rsid w:val="56FE1F80"/>
    <w:rsid w:val="63EF16B0"/>
    <w:rsid w:val="65E7BE90"/>
    <w:rsid w:val="6B77EAE1"/>
    <w:rsid w:val="6E3F2516"/>
    <w:rsid w:val="6F8DC884"/>
    <w:rsid w:val="75FFCF9C"/>
    <w:rsid w:val="76FDE69B"/>
    <w:rsid w:val="77FFF156"/>
    <w:rsid w:val="794ECD46"/>
    <w:rsid w:val="7E3F1D19"/>
    <w:rsid w:val="7FDF1AD6"/>
    <w:rsid w:val="7FEE0907"/>
    <w:rsid w:val="7FF05913"/>
    <w:rsid w:val="7FFE526E"/>
    <w:rsid w:val="93BC1E80"/>
    <w:rsid w:val="A6EF2378"/>
    <w:rsid w:val="B11E31EF"/>
    <w:rsid w:val="BDBBB6A0"/>
    <w:rsid w:val="DF290461"/>
    <w:rsid w:val="DF8DE300"/>
    <w:rsid w:val="EDAFF869"/>
    <w:rsid w:val="EFFBC892"/>
    <w:rsid w:val="F8B4ABB1"/>
    <w:rsid w:val="F93B9BF0"/>
    <w:rsid w:val="FB9F48E7"/>
    <w:rsid w:val="FBBF292B"/>
    <w:rsid w:val="FDDF368F"/>
    <w:rsid w:val="FDE9B300"/>
    <w:rsid w:val="FFE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62</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2025-08-13T16:26:00Z</dcterms:created>
  <dc:creator>ptj</dc:creator>
  <cp:lastModifiedBy>uos</cp:lastModifiedBy>
  <cp:lastPrinted>2025-08-13T01:27:00Z</cp:lastPrinted>
  <dcterms:modified xsi:type="dcterms:W3CDTF">2025-08-25T17:39:09Z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5A9FEC3A04D478183D2FAC68D1601020_43</vt:lpwstr>
  </property>
</Properties>
</file>