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FF0000"/>
          <w:sz w:val="52"/>
          <w:szCs w:val="52"/>
        </w:rPr>
      </w:pPr>
      <w:bookmarkStart w:id="0" w:name="_GoBack"/>
      <w:bookmarkEnd w:id="0"/>
    </w:p>
    <w:p>
      <w:pPr>
        <w:jc w:val="center"/>
        <w:rPr>
          <w:rFonts w:hint="default" w:ascii="Times New Roman" w:hAnsi="Times New Roman" w:eastAsia="方正小标宋简体" w:cs="Times New Roman"/>
          <w:color w:val="FF0000"/>
          <w:sz w:val="52"/>
          <w:szCs w:val="52"/>
        </w:rPr>
      </w:pPr>
    </w:p>
    <w:p>
      <w:pPr>
        <w:jc w:val="center"/>
        <w:rPr>
          <w:rFonts w:hint="default" w:ascii="Times New Roman" w:hAnsi="Times New Roman" w:eastAsia="方正小标宋简体" w:cs="Times New Roman"/>
          <w:color w:val="FF0000"/>
          <w:sz w:val="52"/>
          <w:szCs w:val="52"/>
        </w:rPr>
      </w:pPr>
      <w:r>
        <w:rPr>
          <w:rFonts w:hint="default" w:ascii="Times New Roman" w:hAnsi="Times New Roman" w:eastAsia="方正小标宋简体" w:cs="Times New Roman"/>
          <w:color w:val="FF0000"/>
          <w:sz w:val="52"/>
          <w:szCs w:val="52"/>
        </w:rPr>
        <w:t>宁夏贺兰山东麓葡萄产业园区</w:t>
      </w:r>
    </w:p>
    <w:p>
      <w:pPr>
        <w:spacing w:line="400" w:lineRule="exact"/>
        <w:jc w:val="center"/>
        <w:rPr>
          <w:rFonts w:hint="default" w:ascii="Times New Roman" w:hAnsi="Times New Roman" w:eastAsia="方正小标宋简体" w:cs="Times New Roman"/>
          <w:color w:val="FF0000"/>
          <w:sz w:val="72"/>
          <w:szCs w:val="72"/>
        </w:rPr>
      </w:pPr>
    </w:p>
    <w:p>
      <w:pPr>
        <w:jc w:val="center"/>
        <w:rPr>
          <w:rFonts w:hint="default" w:ascii="Times New Roman" w:hAnsi="Times New Roman" w:eastAsia="方正小标宋简体" w:cs="Times New Roman"/>
          <w:color w:val="FF0000"/>
          <w:spacing w:val="100"/>
          <w:w w:val="80"/>
          <w:sz w:val="120"/>
          <w:szCs w:val="120"/>
        </w:rPr>
      </w:pPr>
      <w:r>
        <w:rPr>
          <w:rFonts w:hint="default" w:ascii="Times New Roman" w:hAnsi="Times New Roman" w:eastAsia="方正小标宋简体" w:cs="Times New Roman"/>
          <w:color w:val="FF0000"/>
          <w:spacing w:val="100"/>
          <w:w w:val="80"/>
          <w:sz w:val="120"/>
          <w:szCs w:val="120"/>
        </w:rPr>
        <w:t>管理委员会文件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kern w:val="2"/>
          <w:sz w:val="21"/>
          <w:szCs w:val="22"/>
          <w:lang w:val="en-US" w:eastAsia="zh-CN" w:bidi="ar-SA"/>
        </w:rPr>
      </w:pPr>
    </w:p>
    <w:p>
      <w:pPr>
        <w:bidi w:val="0"/>
        <w:rPr>
          <w:rFonts w:hint="default" w:ascii="Times New Roman" w:hAnsi="Times New Roman" w:cs="Times New Roman"/>
          <w:lang w:val="en-US" w:eastAsia="zh-CN"/>
        </w:rPr>
      </w:pPr>
    </w:p>
    <w:p>
      <w:pPr>
        <w:bidi w:val="0"/>
        <w:jc w:val="center"/>
        <w:rPr>
          <w:rFonts w:hint="default" w:ascii="Times New Roman" w:hAnsi="Times New Roman" w:eastAsia="仿宋_GB2312" w:cs="Times New Roman"/>
          <w:sz w:val="32"/>
          <w:szCs w:val="32"/>
          <w:lang w:val="en-US" w:eastAsia="zh-CN"/>
        </w:rPr>
      </w:pPr>
      <w:r>
        <w:rPr>
          <w:rFonts w:hint="default" w:ascii="Times New Roman" w:hAnsi="Times New Roman" w:eastAsia="方正小标宋简体" w:cs="Times New Roman"/>
          <w:color w:val="FF0000"/>
          <w:spacing w:val="100"/>
          <w:sz w:val="120"/>
          <w:szCs w:val="120"/>
        </w:rPr>
        <mc:AlternateContent>
          <mc:Choice Requires="wps">
            <w:drawing>
              <wp:anchor distT="0" distB="0" distL="114300" distR="114300" simplePos="0" relativeHeight="251658240" behindDoc="0" locked="0" layoutInCell="1" allowOverlap="1">
                <wp:simplePos x="0" y="0"/>
                <wp:positionH relativeFrom="column">
                  <wp:posOffset>-156845</wp:posOffset>
                </wp:positionH>
                <wp:positionV relativeFrom="paragraph">
                  <wp:posOffset>387985</wp:posOffset>
                </wp:positionV>
                <wp:extent cx="5819775" cy="9525"/>
                <wp:effectExtent l="0" t="0" r="0" b="0"/>
                <wp:wrapNone/>
                <wp:docPr id="1" name="自选图形 3"/>
                <wp:cNvGraphicFramePr/>
                <a:graphic xmlns:a="http://schemas.openxmlformats.org/drawingml/2006/main">
                  <a:graphicData uri="http://schemas.microsoft.com/office/word/2010/wordprocessingShape">
                    <wps:wsp>
                      <wps:cNvCnPr/>
                      <wps:spPr>
                        <a:xfrm>
                          <a:off x="0" y="0"/>
                          <a:ext cx="5819775" cy="9525"/>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2.35pt;margin-top:30.55pt;height:0.75pt;width:458.25pt;z-index:251658240;mso-width-relative:page;mso-height-relative:page;" filled="f" stroked="t" coordsize="21600,21600" o:gfxdata="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sIGxXYAAAACQEAAA8A&#10;AAAAAAAAAQAgAAAAIgAAAGRycy9kb3ducmV2LnhtbFBLAQIUABQAAAAIAIdO4kDoQfPW3gEAAJkD&#10;AAAOAAAAAAAAAAEAIAAAACcBAABkcnMvZTJvRG9jLnhtbFBLBQYAAAAABgAGAFkBAAB3BQAAAAA=&#10;">
                <v:fill on="f" focussize="0,0"/>
                <v:stroke weight="1.25pt" color="#FF0000" joinstyle="round"/>
                <v:imagedata o:title=""/>
                <o:lock v:ext="edit" aspectratio="f"/>
              </v:shape>
            </w:pict>
          </mc:Fallback>
        </mc:AlternateContent>
      </w:r>
      <w:r>
        <w:rPr>
          <w:rFonts w:hint="default" w:ascii="Times New Roman" w:hAnsi="Times New Roman" w:eastAsia="仿宋_GB2312" w:cs="Times New Roman"/>
          <w:sz w:val="32"/>
          <w:szCs w:val="32"/>
          <w:lang w:val="en-US" w:eastAsia="zh-CN"/>
        </w:rPr>
        <w:t>宁葡委发〔2020〕1号</w:t>
      </w:r>
    </w:p>
    <w:p>
      <w:pPr>
        <w:bidi w:val="0"/>
        <w:jc w:val="center"/>
        <w:rPr>
          <w:rFonts w:hint="default" w:ascii="Times New Roman" w:hAnsi="Times New Roman" w:eastAsia="仿宋_GB2312" w:cs="Times New Roman"/>
          <w:sz w:val="32"/>
          <w:szCs w:val="32"/>
          <w:lang w:val="en-US" w:eastAsia="zh-CN"/>
        </w:rPr>
      </w:pPr>
    </w:p>
    <w:p>
      <w:pPr>
        <w:bidi w:val="0"/>
        <w:jc w:val="center"/>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宁夏贺兰山东麓葡萄产业园区管委会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提前下达2020年葡萄产业发展项目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（第一批）计划的通知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仿宋_GB2312" w:cs="Times New Roman"/>
          <w:sz w:val="32"/>
          <w:szCs w:val="32"/>
          <w:lang w:val="en-US" w:eastAsia="zh-CN"/>
        </w:rPr>
      </w:pPr>
    </w:p>
    <w:p>
      <w:pPr>
        <w:spacing w:line="56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有关市、县（区）</w:t>
      </w:r>
      <w:r>
        <w:rPr>
          <w:rFonts w:hint="default" w:ascii="Times New Roman" w:hAnsi="Times New Roman" w:eastAsia="仿宋_GB2312" w:cs="Times New Roman"/>
          <w:sz w:val="32"/>
          <w:szCs w:val="32"/>
          <w:lang w:eastAsia="zh-CN"/>
        </w:rPr>
        <w:t>葡萄产业主管部门、</w:t>
      </w:r>
      <w:r>
        <w:rPr>
          <w:rFonts w:hint="default" w:ascii="Times New Roman" w:hAnsi="Times New Roman" w:eastAsia="仿宋_GB2312" w:cs="Times New Roman"/>
          <w:sz w:val="32"/>
          <w:szCs w:val="32"/>
        </w:rPr>
        <w:t>财政局：</w:t>
      </w:r>
    </w:p>
    <w:p>
      <w:pPr>
        <w:keepNext w:val="0"/>
        <w:keepLines w:val="0"/>
        <w:pageBreakBefore w:val="0"/>
        <w:widowControl w:val="0"/>
        <w:kinsoku/>
        <w:wordWrap/>
        <w:overflowPunct/>
        <w:topLinePunct w:val="0"/>
        <w:autoSpaceDE/>
        <w:autoSpaceDN/>
        <w:bidi w:val="0"/>
        <w:adjustRightInd w:val="0"/>
        <w:snapToGrid w:val="0"/>
        <w:spacing w:line="53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根据《自治区人民政府关于创新财政支农方式加快发展农业特色优势产业的意见》（宁政发〔2016〕27号）</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lang w:val="en-US" w:eastAsia="zh-CN"/>
        </w:rPr>
        <w:t>2020年</w:t>
      </w:r>
      <w:r>
        <w:rPr>
          <w:rFonts w:hint="default" w:ascii="Times New Roman" w:hAnsi="Times New Roman" w:eastAsia="仿宋_GB2312" w:cs="Times New Roman"/>
          <w:sz w:val="32"/>
          <w:szCs w:val="32"/>
          <w:lang w:eastAsia="zh-CN"/>
        </w:rPr>
        <w:t>预算编制</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z w:val="32"/>
          <w:szCs w:val="32"/>
          <w:lang w:val="en-US" w:eastAsia="zh-CN"/>
        </w:rPr>
        <w:t>为有效实现葡萄产业发展项目绩效目标，加强自治区对市县（区）转移支付项目管理，</w:t>
      </w:r>
      <w:r>
        <w:rPr>
          <w:rFonts w:hint="default" w:ascii="Times New Roman" w:hAnsi="Times New Roman" w:eastAsia="仿宋_GB2312" w:cs="Times New Roman"/>
          <w:i w:val="0"/>
          <w:caps w:val="0"/>
          <w:color w:val="auto"/>
          <w:spacing w:val="0"/>
          <w:sz w:val="32"/>
          <w:szCs w:val="32"/>
          <w:shd w:val="clear" w:fill="FFFFFF"/>
          <w:lang w:eastAsia="zh-CN"/>
        </w:rPr>
        <w:t>提高财政资金使用效益，</w:t>
      </w:r>
      <w:r>
        <w:rPr>
          <w:rFonts w:hint="default" w:ascii="Times New Roman" w:hAnsi="Times New Roman" w:eastAsia="仿宋_GB2312" w:cs="Times New Roman"/>
          <w:sz w:val="32"/>
          <w:szCs w:val="32"/>
          <w:lang w:val="en-US" w:eastAsia="zh-CN"/>
        </w:rPr>
        <w:t>保证高标准优新苗木新建基地项目建设进度，</w:t>
      </w:r>
      <w:r>
        <w:rPr>
          <w:rFonts w:hint="default" w:ascii="Times New Roman" w:hAnsi="Times New Roman" w:eastAsia="仿宋_GB2312" w:cs="Times New Roman"/>
          <w:i w:val="0"/>
          <w:caps w:val="0"/>
          <w:color w:val="auto"/>
          <w:spacing w:val="0"/>
          <w:sz w:val="32"/>
          <w:szCs w:val="32"/>
          <w:shd w:val="clear" w:fill="FFFFFF"/>
          <w:lang w:eastAsia="zh-CN"/>
        </w:rPr>
        <w:t>经商自治区财政厅同意，现将</w:t>
      </w:r>
      <w:r>
        <w:rPr>
          <w:rFonts w:hint="default" w:ascii="Times New Roman" w:hAnsi="Times New Roman" w:eastAsia="仿宋_GB2312" w:cs="Times New Roman"/>
          <w:sz w:val="32"/>
          <w:szCs w:val="32"/>
          <w:lang w:val="en-US" w:eastAsia="zh-CN"/>
        </w:rPr>
        <w:t>2020年</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批葡萄产业资金计划</w:t>
      </w:r>
      <w:r>
        <w:rPr>
          <w:rFonts w:hint="default" w:ascii="Times New Roman" w:hAnsi="Times New Roman" w:eastAsia="仿宋_GB2312" w:cs="Times New Roman"/>
          <w:sz w:val="32"/>
          <w:szCs w:val="32"/>
          <w:lang w:eastAsia="zh-CN"/>
        </w:rPr>
        <w:t>和新建基地项目任务下达给你们，并就有关事宜通知如下：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一、2020年新建基地补助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val="0"/>
          <w:bCs w:val="0"/>
          <w:sz w:val="32"/>
          <w:szCs w:val="32"/>
          <w:lang w:val="en-US" w:eastAsia="zh-CN"/>
        </w:rPr>
        <w:t>相关市、县（区）报送</w:t>
      </w:r>
      <w:r>
        <w:rPr>
          <w:rFonts w:hint="default" w:ascii="Times New Roman" w:hAnsi="Times New Roman" w:eastAsia="仿宋_GB2312" w:cs="Times New Roman"/>
          <w:b w:val="0"/>
          <w:bCs w:val="0"/>
          <w:sz w:val="32"/>
          <w:szCs w:val="32"/>
        </w:rPr>
        <w:t>20</w:t>
      </w:r>
      <w:r>
        <w:rPr>
          <w:rFonts w:hint="default" w:ascii="Times New Roman" w:hAnsi="Times New Roman" w:eastAsia="仿宋_GB2312" w:cs="Times New Roman"/>
          <w:b w:val="0"/>
          <w:bCs w:val="0"/>
          <w:sz w:val="32"/>
          <w:szCs w:val="32"/>
          <w:lang w:val="en-US" w:eastAsia="zh-CN"/>
        </w:rPr>
        <w:t>20年</w:t>
      </w:r>
      <w:r>
        <w:rPr>
          <w:rFonts w:hint="default" w:ascii="Times New Roman" w:hAnsi="Times New Roman" w:eastAsia="仿宋_GB2312" w:cs="Times New Roman"/>
          <w:b w:val="0"/>
          <w:bCs w:val="0"/>
          <w:sz w:val="32"/>
          <w:szCs w:val="32"/>
        </w:rPr>
        <w:t>新建葡萄基地</w:t>
      </w:r>
      <w:r>
        <w:rPr>
          <w:rFonts w:hint="default" w:ascii="Times New Roman" w:hAnsi="Times New Roman" w:eastAsia="仿宋_GB2312" w:cs="Times New Roman"/>
          <w:b w:val="0"/>
          <w:bCs w:val="0"/>
          <w:sz w:val="32"/>
          <w:szCs w:val="32"/>
          <w:lang w:eastAsia="zh-CN"/>
        </w:rPr>
        <w:t>种植面积共</w:t>
      </w:r>
      <w:r>
        <w:rPr>
          <w:rFonts w:hint="default" w:ascii="Times New Roman" w:hAnsi="Times New Roman" w:eastAsia="仿宋_GB2312" w:cs="Times New Roman"/>
          <w:b w:val="0"/>
          <w:bCs w:val="0"/>
          <w:sz w:val="32"/>
          <w:szCs w:val="32"/>
          <w:lang w:val="en-US" w:eastAsia="zh-CN"/>
        </w:rPr>
        <w:t>5400</w:t>
      </w:r>
      <w:r>
        <w:rPr>
          <w:rFonts w:hint="default" w:ascii="Times New Roman" w:hAnsi="Times New Roman" w:eastAsia="仿宋_GB2312" w:cs="Times New Roman"/>
          <w:b w:val="0"/>
          <w:bCs w:val="0"/>
          <w:sz w:val="32"/>
          <w:szCs w:val="32"/>
        </w:rPr>
        <w:t>亩，</w:t>
      </w:r>
      <w:r>
        <w:rPr>
          <w:rFonts w:hint="default" w:ascii="Times New Roman" w:hAnsi="Times New Roman" w:eastAsia="仿宋_GB2312" w:cs="Times New Roman"/>
          <w:sz w:val="32"/>
          <w:szCs w:val="32"/>
        </w:rPr>
        <w:t>每亩补助</w:t>
      </w:r>
      <w:r>
        <w:rPr>
          <w:rFonts w:hint="default" w:ascii="Times New Roman" w:hAnsi="Times New Roman" w:eastAsia="仿宋_GB2312" w:cs="Times New Roman"/>
          <w:sz w:val="32"/>
          <w:szCs w:val="32"/>
          <w:lang w:eastAsia="zh-CN"/>
        </w:rPr>
        <w:t>标准</w:t>
      </w:r>
      <w:r>
        <w:rPr>
          <w:rFonts w:hint="default" w:ascii="Times New Roman" w:hAnsi="Times New Roman" w:eastAsia="仿宋_GB2312" w:cs="Times New Roman"/>
          <w:sz w:val="32"/>
          <w:szCs w:val="32"/>
        </w:rPr>
        <w:t>1500元</w:t>
      </w:r>
      <w:r>
        <w:rPr>
          <w:rFonts w:hint="default" w:ascii="Times New Roman" w:hAnsi="Times New Roman" w:eastAsia="仿宋_GB2312" w:cs="Times New Roman"/>
          <w:sz w:val="32"/>
          <w:szCs w:val="32"/>
          <w:lang w:eastAsia="zh-CN"/>
        </w:rPr>
        <w:t>，实行先预付后结算方式，</w:t>
      </w:r>
      <w:r>
        <w:rPr>
          <w:rFonts w:hint="default" w:ascii="Times New Roman" w:hAnsi="Times New Roman" w:eastAsia="仿宋_GB2312" w:cs="Times New Roman"/>
          <w:sz w:val="32"/>
          <w:szCs w:val="32"/>
          <w:lang w:val="en-US" w:eastAsia="zh-CN"/>
        </w:rPr>
        <w:t>2020年按上报任务的70%预安排资金567万元，抵扣以前年度超额下达83.95万元（以前年度超额下达资金继续用于2020年新建基地种植），本次下达</w:t>
      </w:r>
      <w:r>
        <w:rPr>
          <w:rFonts w:hint="default" w:ascii="Times New Roman" w:hAnsi="Times New Roman" w:eastAsia="仿宋_GB2312" w:cs="Times New Roman"/>
          <w:b/>
          <w:bCs/>
          <w:sz w:val="32"/>
          <w:szCs w:val="32"/>
          <w:lang w:eastAsia="zh-CN"/>
        </w:rPr>
        <w:t>补助资金</w:t>
      </w:r>
      <w:r>
        <w:rPr>
          <w:rFonts w:hint="default" w:ascii="Times New Roman" w:hAnsi="Times New Roman" w:eastAsia="仿宋_GB2312" w:cs="Times New Roman"/>
          <w:b/>
          <w:bCs/>
          <w:sz w:val="32"/>
          <w:szCs w:val="32"/>
          <w:lang w:val="en-US" w:eastAsia="zh-CN"/>
        </w:rPr>
        <w:t>483万元</w:t>
      </w:r>
      <w:r>
        <w:rPr>
          <w:rFonts w:hint="default" w:ascii="Times New Roman" w:hAnsi="Times New Roman" w:eastAsia="仿宋_GB2312" w:cs="Times New Roman"/>
          <w:b w:val="0"/>
          <w:bCs w:val="0"/>
          <w:sz w:val="32"/>
          <w:szCs w:val="32"/>
          <w:lang w:val="en-US" w:eastAsia="zh-CN"/>
        </w:rPr>
        <w:t>。具体如下：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sz w:val="32"/>
          <w:szCs w:val="32"/>
          <w:lang w:eastAsia="zh-CN"/>
        </w:rPr>
        <w:t>（一）</w:t>
      </w:r>
      <w:r>
        <w:rPr>
          <w:rFonts w:hint="default" w:ascii="Times New Roman" w:hAnsi="Times New Roman" w:eastAsia="仿宋_GB2312" w:cs="Times New Roman"/>
          <w:b w:val="0"/>
          <w:bCs w:val="0"/>
          <w:sz w:val="32"/>
          <w:szCs w:val="32"/>
          <w:lang w:eastAsia="zh-CN"/>
        </w:rPr>
        <w:t>西夏区新建基地种植面积</w:t>
      </w:r>
      <w:r>
        <w:rPr>
          <w:rFonts w:hint="default" w:ascii="Times New Roman" w:hAnsi="Times New Roman" w:eastAsia="仿宋_GB2312" w:cs="Times New Roman"/>
          <w:b w:val="0"/>
          <w:bCs w:val="0"/>
          <w:sz w:val="32"/>
          <w:szCs w:val="32"/>
          <w:lang w:val="en-US" w:eastAsia="zh-CN"/>
        </w:rPr>
        <w:t xml:space="preserve">400亩，补助42万元。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sz w:val="32"/>
          <w:szCs w:val="32"/>
          <w:lang w:val="en-US" w:eastAsia="zh-CN"/>
        </w:rPr>
        <w:t>（二）</w:t>
      </w:r>
      <w:r>
        <w:rPr>
          <w:rFonts w:hint="default" w:ascii="Times New Roman" w:hAnsi="Times New Roman" w:eastAsia="仿宋_GB2312" w:cs="Times New Roman"/>
          <w:b w:val="0"/>
          <w:bCs w:val="0"/>
          <w:sz w:val="32"/>
          <w:szCs w:val="32"/>
          <w:lang w:val="en-US" w:eastAsia="zh-CN"/>
        </w:rPr>
        <w:t>贺兰县新建基地种植面积1000亩，补助105万元，抵扣2019年超额下达33万元，本次实际下达补助资金72万元。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sz w:val="32"/>
          <w:szCs w:val="32"/>
          <w:lang w:val="en-US" w:eastAsia="zh-CN"/>
        </w:rPr>
        <w:t>（三）</w:t>
      </w:r>
      <w:r>
        <w:rPr>
          <w:rFonts w:hint="default" w:ascii="Times New Roman" w:hAnsi="Times New Roman" w:eastAsia="仿宋_GB2312" w:cs="Times New Roman"/>
          <w:b w:val="0"/>
          <w:bCs w:val="0"/>
          <w:sz w:val="32"/>
          <w:szCs w:val="32"/>
          <w:lang w:val="en-US" w:eastAsia="zh-CN"/>
        </w:rPr>
        <w:t>青铜峡市新建基地种植面积3000亩，补助315万元。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sz w:val="32"/>
          <w:szCs w:val="32"/>
          <w:lang w:val="en-US" w:eastAsia="zh-CN"/>
        </w:rPr>
        <w:t>（四）</w:t>
      </w:r>
      <w:r>
        <w:rPr>
          <w:rFonts w:hint="default" w:ascii="Times New Roman" w:hAnsi="Times New Roman" w:eastAsia="仿宋_GB2312" w:cs="Times New Roman"/>
          <w:b w:val="0"/>
          <w:bCs w:val="0"/>
          <w:sz w:val="32"/>
          <w:szCs w:val="32"/>
          <w:lang w:val="en-US" w:eastAsia="zh-CN"/>
        </w:rPr>
        <w:t>红寺堡区新建基地1000亩，补助105万元，抵扣50.95万元（其中：2019年超额下达9万元、2018年超额下达41.95万元），本次下达补助资金54万元</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二、2019年新建基地缺口资金补助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sz w:val="32"/>
          <w:szCs w:val="32"/>
          <w:lang w:val="en-US" w:eastAsia="zh-CN"/>
        </w:rPr>
        <w:t>根据葡萄园区管委会2019年8月底---9月下旬组织相关市、县（区），对2019年新建基地种植面积的验收情况，2019年实际种植面积30158.79亩，应补助4524万元，当年实际到位补助资金2898万元，缺口资金1626万元，抵扣以前年度超额下达107.09万元（以前年度超额下达资金继续用于2019年新建基地种植），</w:t>
      </w:r>
      <w:r>
        <w:rPr>
          <w:rFonts w:hint="default" w:ascii="Times New Roman" w:hAnsi="Times New Roman" w:eastAsia="仿宋_GB2312" w:cs="Times New Roman"/>
          <w:b/>
          <w:bCs/>
          <w:sz w:val="32"/>
          <w:szCs w:val="32"/>
          <w:lang w:val="en-US" w:eastAsia="zh-CN"/>
        </w:rPr>
        <w:t>本次安排缺口资金1519万元。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西夏区新建基地种植面积缺口资金</w:t>
      </w:r>
      <w:r>
        <w:rPr>
          <w:rFonts w:hint="default" w:ascii="Times New Roman" w:hAnsi="Times New Roman" w:eastAsia="仿宋_GB2312" w:cs="Times New Roman"/>
          <w:b w:val="0"/>
          <w:bCs w:val="0"/>
          <w:sz w:val="32"/>
          <w:szCs w:val="32"/>
          <w:lang w:val="en-US" w:eastAsia="zh-CN"/>
        </w:rPr>
        <w:t>103万元，抵扣2018年超额下达5.65万元，本次补助97万元。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eastAsia="zh-CN"/>
        </w:rPr>
        <w:t>永宁县缺口补助</w:t>
      </w:r>
      <w:r>
        <w:rPr>
          <w:rFonts w:hint="default" w:ascii="Times New Roman" w:hAnsi="Times New Roman" w:eastAsia="仿宋_GB2312" w:cs="Times New Roman"/>
          <w:b w:val="0"/>
          <w:bCs w:val="0"/>
          <w:sz w:val="32"/>
          <w:szCs w:val="32"/>
          <w:lang w:val="en-US" w:eastAsia="zh-CN"/>
        </w:rPr>
        <w:t>531万元。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金凤区缺口资金94万元，抵扣2017年超额下达90.4万元，本次补助4万元。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青铜峡市缺口资金110万元，抵扣2018年超额下达11.04万元，本次补助99万元。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同心县缺口补助788万元</w:t>
      </w:r>
      <w:r>
        <w:rPr>
          <w:rFonts w:hint="default" w:ascii="Times New Roman" w:hAnsi="Times New Roman" w:eastAsia="仿宋_GB2312" w:cs="Times New Roman"/>
          <w:sz w:val="32"/>
          <w:szCs w:val="32"/>
          <w:lang w:eastAsia="zh-CN"/>
        </w:rPr>
        <w:t>（注：</w:t>
      </w:r>
      <w:r>
        <w:rPr>
          <w:rFonts w:hint="default" w:ascii="Times New Roman" w:hAnsi="Times New Roman" w:eastAsia="仿宋_GB2312" w:cs="Times New Roman"/>
          <w:sz w:val="32"/>
          <w:szCs w:val="32"/>
          <w:lang w:val="en-US" w:eastAsia="zh-CN"/>
        </w:rPr>
        <w:t>2018年超下达55.65万元本次尚未抵扣</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三、扎实推进项目实施，确保</w:t>
      </w:r>
      <w:r>
        <w:rPr>
          <w:rFonts w:hint="default" w:ascii="Times New Roman" w:hAnsi="Times New Roman" w:eastAsia="黑体" w:cs="Times New Roman"/>
          <w:sz w:val="32"/>
          <w:szCs w:val="32"/>
          <w:lang w:val="en-US" w:eastAsia="zh-CN"/>
        </w:rPr>
        <w:t>2020年任务</w:t>
      </w:r>
      <w:r>
        <w:rPr>
          <w:rFonts w:hint="default" w:ascii="Times New Roman" w:hAnsi="Times New Roman" w:eastAsia="黑体" w:cs="Times New Roman"/>
          <w:sz w:val="32"/>
          <w:szCs w:val="32"/>
          <w:lang w:eastAsia="zh-CN"/>
        </w:rPr>
        <w:t>完成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pacing w:val="-6"/>
          <w:sz w:val="32"/>
          <w:szCs w:val="32"/>
          <w:lang w:eastAsia="zh-CN"/>
        </w:rPr>
      </w:pPr>
      <w:r>
        <w:rPr>
          <w:rFonts w:hint="eastAsia" w:ascii="楷体_GB2312" w:hAnsi="楷体_GB2312" w:eastAsia="楷体_GB2312" w:cs="楷体_GB2312"/>
          <w:b/>
          <w:bCs/>
          <w:sz w:val="32"/>
          <w:szCs w:val="32"/>
          <w:lang w:eastAsia="zh-CN"/>
        </w:rPr>
        <w:t>（一）高度重视，明确责任。</w:t>
      </w:r>
      <w:r>
        <w:rPr>
          <w:rFonts w:hint="default" w:ascii="Times New Roman" w:hAnsi="Times New Roman" w:eastAsia="仿宋_GB2312" w:cs="Times New Roman"/>
          <w:sz w:val="32"/>
          <w:szCs w:val="32"/>
          <w:lang w:eastAsia="zh-CN"/>
        </w:rPr>
        <w:t>葡萄产业相关</w:t>
      </w:r>
      <w:r>
        <w:rPr>
          <w:rFonts w:hint="default" w:ascii="Times New Roman" w:hAnsi="Times New Roman" w:eastAsia="仿宋_GB2312" w:cs="Times New Roman"/>
          <w:sz w:val="32"/>
          <w:szCs w:val="32"/>
        </w:rPr>
        <w:t>市、县（区）财政局</w:t>
      </w:r>
      <w:r>
        <w:rPr>
          <w:rFonts w:hint="default" w:ascii="Times New Roman" w:hAnsi="Times New Roman" w:eastAsia="仿宋_GB2312" w:cs="Times New Roman"/>
          <w:sz w:val="32"/>
          <w:szCs w:val="32"/>
          <w:lang w:eastAsia="zh-CN"/>
        </w:rPr>
        <w:t>及葡萄产业主管部门要高度重视，切实承担起葡萄产业项目执行和资金使用的主体责任，抓好政策落实，明确补助对象，由主要领导亲自抓，分管领导具体抓，业务人员主动抓，有计划、</w:t>
      </w:r>
      <w:r>
        <w:rPr>
          <w:rFonts w:hint="default" w:ascii="Times New Roman" w:hAnsi="Times New Roman" w:eastAsia="仿宋_GB2312" w:cs="Times New Roman"/>
          <w:spacing w:val="-6"/>
          <w:sz w:val="32"/>
          <w:szCs w:val="32"/>
          <w:lang w:eastAsia="zh-CN"/>
        </w:rPr>
        <w:t>有安排、有落实，确保完成葡萄产业高标准新建基地种植年度任务。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val="en-US" w:eastAsia="zh-CN"/>
        </w:rPr>
        <w:t>（二）</w:t>
      </w:r>
      <w:r>
        <w:rPr>
          <w:rFonts w:hint="default" w:ascii="楷体_GB2312" w:hAnsi="楷体_GB2312" w:eastAsia="楷体_GB2312" w:cs="楷体_GB2312"/>
          <w:b/>
          <w:bCs/>
          <w:sz w:val="32"/>
          <w:szCs w:val="32"/>
          <w:lang w:eastAsia="zh-CN"/>
        </w:rPr>
        <w:t>紧盯目标，加快项目建设和资金支出进度。</w:t>
      </w:r>
      <w:r>
        <w:rPr>
          <w:rFonts w:hint="default" w:ascii="Times New Roman" w:hAnsi="Times New Roman" w:eastAsia="仿宋_GB2312" w:cs="Times New Roman"/>
          <w:sz w:val="32"/>
          <w:szCs w:val="32"/>
          <w:lang w:eastAsia="zh-CN"/>
        </w:rPr>
        <w:t>各相关</w:t>
      </w:r>
      <w:r>
        <w:rPr>
          <w:rFonts w:hint="default" w:ascii="Times New Roman" w:hAnsi="Times New Roman" w:eastAsia="仿宋_GB2312" w:cs="Times New Roman"/>
          <w:sz w:val="32"/>
          <w:szCs w:val="32"/>
        </w:rPr>
        <w:t>市、县（区）</w:t>
      </w:r>
      <w:r>
        <w:rPr>
          <w:rFonts w:hint="default" w:ascii="Times New Roman" w:hAnsi="Times New Roman" w:eastAsia="仿宋_GB2312" w:cs="Times New Roman"/>
          <w:sz w:val="32"/>
          <w:szCs w:val="32"/>
          <w:lang w:eastAsia="zh-CN"/>
        </w:rPr>
        <w:t>葡萄产业主管部门要认真落实</w:t>
      </w:r>
      <w:r>
        <w:rPr>
          <w:rFonts w:hint="default" w:ascii="Times New Roman" w:hAnsi="Times New Roman" w:eastAsia="仿宋_GB2312" w:cs="Times New Roman"/>
          <w:sz w:val="32"/>
          <w:szCs w:val="32"/>
          <w:lang w:val="en-US" w:eastAsia="zh-CN"/>
        </w:rPr>
        <w:t>2020年新建基地</w:t>
      </w:r>
      <w:r>
        <w:rPr>
          <w:rFonts w:hint="default" w:ascii="Times New Roman" w:hAnsi="Times New Roman" w:eastAsia="仿宋_GB2312" w:cs="Times New Roman"/>
          <w:sz w:val="32"/>
          <w:szCs w:val="32"/>
          <w:lang w:eastAsia="zh-CN"/>
        </w:rPr>
        <w:t>种植任务，明确项目实施绩效目标，加快新建基地的种植和资金支出进度，切实提高资金的使用效益，</w:t>
      </w:r>
      <w:r>
        <w:rPr>
          <w:rFonts w:hint="default" w:ascii="Times New Roman" w:hAnsi="Times New Roman" w:eastAsia="仿宋_GB2312" w:cs="Times New Roman"/>
          <w:sz w:val="32"/>
          <w:szCs w:val="32"/>
          <w:lang w:val="en-US" w:eastAsia="zh-CN"/>
        </w:rPr>
        <w:t>按照“一项目一绩效”的原则，于2020年3月20日前将具体项目实施方案（</w:t>
      </w:r>
      <w:r>
        <w:rPr>
          <w:rFonts w:hint="default" w:ascii="Times New Roman" w:hAnsi="Times New Roman" w:eastAsia="仿宋_GB2312" w:cs="Times New Roman"/>
          <w:sz w:val="32"/>
          <w:szCs w:val="32"/>
        </w:rPr>
        <w:t>明确栽植地点、栽植面积、苗木使用量及苗木来源</w:t>
      </w:r>
      <w:r>
        <w:rPr>
          <w:rFonts w:hint="default" w:ascii="Times New Roman" w:hAnsi="Times New Roman" w:eastAsia="仿宋_GB2312" w:cs="Times New Roman"/>
          <w:sz w:val="32"/>
          <w:szCs w:val="32"/>
          <w:lang w:val="en-US" w:eastAsia="zh-CN"/>
        </w:rPr>
        <w:t>附绩效目标）报葡萄园区管委会产业发展处。原则上在9月底前完成项目实施并组织自验，对自验合格并公示无异议的项目，要及时报自治区产业主管部门申请验收，经验收合格后于10月底前完成项目资金的兑付。</w:t>
      </w:r>
    </w:p>
    <w:p>
      <w:pPr>
        <w:numPr>
          <w:ilvl w:val="0"/>
          <w:numId w:val="0"/>
        </w:numPr>
        <w:adjustRightInd w:val="0"/>
        <w:snapToGrid w:val="0"/>
        <w:spacing w:line="560" w:lineRule="exact"/>
        <w:ind w:firstLine="642"/>
        <w:jc w:val="both"/>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val="en-US" w:eastAsia="zh-CN"/>
        </w:rPr>
        <w:t>（三）开展绩效评价，严格项目资金管理。</w:t>
      </w:r>
      <w:r>
        <w:rPr>
          <w:rFonts w:hint="default" w:ascii="Times New Roman" w:hAnsi="Times New Roman" w:eastAsia="仿宋_GB2312" w:cs="Times New Roman"/>
          <w:sz w:val="32"/>
          <w:szCs w:val="32"/>
          <w:lang w:eastAsia="zh-CN"/>
        </w:rPr>
        <w:t>各相关市、县（区）要</w:t>
      </w:r>
      <w:r>
        <w:rPr>
          <w:rFonts w:hint="default" w:ascii="Times New Roman" w:hAnsi="Times New Roman" w:eastAsia="仿宋_GB2312" w:cs="Times New Roman"/>
          <w:sz w:val="32"/>
          <w:szCs w:val="32"/>
          <w:lang w:val="en-US" w:eastAsia="zh-CN"/>
        </w:rPr>
        <w:t>严格按照本计划实施项目，核对年初随计划任务制定的绩效目标，做好项目实施总结和项目绩效评价工作。对以前年度没有兑付给补助对象的资金要及时梳理上报自治区葡萄园区管委会。如果没有特殊情况应按当年基地种植组织验收结果积极兑付，一定要做到专款专用，不得截留、挪用，如发现挤占挪用、虚报冒领等违纪违规行为，将依照国家相关法律、法规、制度严肃查处。</w:t>
      </w:r>
    </w:p>
    <w:p>
      <w:pPr>
        <w:numPr>
          <w:ilvl w:val="0"/>
          <w:numId w:val="0"/>
        </w:numPr>
        <w:adjustRightInd w:val="0"/>
        <w:snapToGrid w:val="0"/>
        <w:spacing w:line="560" w:lineRule="exact"/>
        <w:ind w:firstLine="640"/>
        <w:jc w:val="both"/>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val="en-US" w:eastAsia="zh-CN"/>
        </w:rPr>
        <w:t>（四）其他事项。</w:t>
      </w:r>
      <w:r>
        <w:rPr>
          <w:rFonts w:hint="default" w:ascii="Times New Roman" w:hAnsi="Times New Roman" w:eastAsia="仿宋_GB2312" w:cs="Times New Roman"/>
          <w:sz w:val="32"/>
          <w:szCs w:val="32"/>
          <w:lang w:val="en-US" w:eastAsia="zh-CN"/>
        </w:rPr>
        <w:t xml:space="preserve">2020年上半年我委将继续组织对2019年葡萄产业项目进行绩效评价和专项资金审计，请各市县（区）产业主管部门和财政部门提前做好该项目执行和资金拨付等方面的相关资料准备工作。   </w:t>
      </w:r>
    </w:p>
    <w:p>
      <w:pPr>
        <w:numPr>
          <w:ilvl w:val="0"/>
          <w:numId w:val="0"/>
        </w:numPr>
        <w:adjustRightInd w:val="0"/>
        <w:snapToGrid w:val="0"/>
        <w:spacing w:line="560" w:lineRule="exact"/>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附件：1.提前下达2020年葡萄种植新建基地资金计划表</w:t>
      </w:r>
    </w:p>
    <w:p>
      <w:pPr>
        <w:widowControl w:val="0"/>
        <w:numPr>
          <w:ilvl w:val="0"/>
          <w:numId w:val="0"/>
        </w:numPr>
        <w:adjustRightInd w:val="0"/>
        <w:snapToGrid w:val="0"/>
        <w:spacing w:line="560" w:lineRule="exact"/>
        <w:ind w:left="1920" w:hanging="1920" w:hangingChars="6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2.2020年葡萄种植新建基地（市县区转移支付项目）绩效目标表</w:t>
      </w:r>
    </w:p>
    <w:p>
      <w:pPr>
        <w:widowControl w:val="0"/>
        <w:numPr>
          <w:ilvl w:val="0"/>
          <w:numId w:val="0"/>
        </w:numPr>
        <w:adjustRightInd w:val="0"/>
        <w:snapToGrid w:val="0"/>
        <w:spacing w:line="560" w:lineRule="exact"/>
        <w:jc w:val="both"/>
        <w:rPr>
          <w:rFonts w:hint="default" w:ascii="Times New Roman" w:hAnsi="Times New Roman" w:eastAsia="仿宋_GB2312" w:cs="Times New Roman"/>
          <w:sz w:val="32"/>
          <w:szCs w:val="32"/>
          <w:lang w:val="en-US" w:eastAsia="zh-CN"/>
        </w:rPr>
      </w:pPr>
    </w:p>
    <w:p>
      <w:pPr>
        <w:widowControl w:val="0"/>
        <w:numPr>
          <w:ilvl w:val="0"/>
          <w:numId w:val="0"/>
        </w:numPr>
        <w:adjustRightInd w:val="0"/>
        <w:snapToGrid w:val="0"/>
        <w:spacing w:line="560" w:lineRule="exact"/>
        <w:jc w:val="both"/>
        <w:rPr>
          <w:rFonts w:hint="default" w:ascii="Times New Roman" w:hAnsi="Times New Roman" w:eastAsia="仿宋_GB2312" w:cs="Times New Roman"/>
          <w:sz w:val="32"/>
          <w:szCs w:val="32"/>
          <w:lang w:val="en-US" w:eastAsia="zh-CN"/>
        </w:rPr>
      </w:pPr>
    </w:p>
    <w:p>
      <w:pPr>
        <w:widowControl w:val="0"/>
        <w:numPr>
          <w:ilvl w:val="0"/>
          <w:numId w:val="0"/>
        </w:numPr>
        <w:adjustRightInd w:val="0"/>
        <w:snapToGrid w:val="0"/>
        <w:spacing w:line="56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宁夏贺兰山东麓葡萄产业园区管委会</w:t>
      </w:r>
    </w:p>
    <w:p>
      <w:pPr>
        <w:widowControl w:val="0"/>
        <w:numPr>
          <w:ilvl w:val="0"/>
          <w:numId w:val="0"/>
        </w:numPr>
        <w:adjustRightInd w:val="0"/>
        <w:snapToGrid w:val="0"/>
        <w:spacing w:line="560" w:lineRule="exact"/>
        <w:jc w:val="both"/>
        <w:rPr>
          <w:rFonts w:hint="default" w:ascii="Times New Roman" w:hAnsi="Times New Roman" w:eastAsia="仿宋_GB2312" w:cs="Times New Roman"/>
          <w:color w:val="FFFFFF" w:themeColor="background1"/>
          <w:sz w:val="32"/>
          <w:szCs w:val="32"/>
          <w:lang w:val="en-US" w:eastAsia="zh-CN"/>
          <w14:textFill>
            <w14:solidFill>
              <w14:schemeClr w14:val="bg1"/>
            </w14:solidFill>
          </w14:textFill>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2020年1月</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color w:val="FFFFFF" w:themeColor="background1"/>
          <w:sz w:val="32"/>
          <w:szCs w:val="32"/>
          <w:lang w:val="en-US" w:eastAsia="zh-CN"/>
          <w14:textFill>
            <w14:solidFill>
              <w14:schemeClr w14:val="bg1"/>
            </w14:solidFill>
          </w14:textFill>
        </w:rPr>
        <w:t>区管委会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sectPr>
          <w:footerReference r:id="rId5" w:type="first"/>
          <w:footerReference r:id="rId3" w:type="default"/>
          <w:footerReference r:id="rId4" w:type="even"/>
          <w:pgSz w:w="11906" w:h="16838"/>
          <w:pgMar w:top="2098" w:right="1474" w:bottom="1984" w:left="1588" w:header="1984" w:footer="1417" w:gutter="0"/>
          <w:pgBorders>
            <w:top w:val="none" w:color="auto" w:sz="0" w:space="0"/>
            <w:left w:val="none" w:color="auto" w:sz="0" w:space="0"/>
            <w:bottom w:val="none" w:color="auto" w:sz="0" w:space="0"/>
            <w:right w:val="none" w:color="auto" w:sz="0" w:space="0"/>
          </w:pgBorders>
          <w:cols w:space="0" w:num="1"/>
          <w:titlePg/>
          <w:rtlGutter w:val="0"/>
          <w:docGrid w:type="lines" w:linePitch="312" w:charSpace="0"/>
        </w:sectPr>
      </w:pPr>
      <w:r>
        <w:rPr>
          <w:rFonts w:hint="eastAsia" w:ascii="Times New Roman" w:hAnsi="Times New Roman" w:eastAsia="仿宋_GB2312" w:cs="Times New Roman"/>
          <w:sz w:val="32"/>
          <w:szCs w:val="32"/>
          <w:lang w:val="en-US" w:eastAsia="zh-CN"/>
        </w:rPr>
        <w:t>（此件公开发布）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tbl>
      <w:tblPr>
        <w:tblStyle w:val="6"/>
        <w:tblW w:w="13218" w:type="dxa"/>
        <w:jc w:val="center"/>
        <w:tblInd w:w="0" w:type="dxa"/>
        <w:shd w:val="clear" w:color="auto" w:fill="auto"/>
        <w:tblLayout w:type="fixed"/>
        <w:tblCellMar>
          <w:top w:w="0" w:type="dxa"/>
          <w:left w:w="0" w:type="dxa"/>
          <w:bottom w:w="0" w:type="dxa"/>
          <w:right w:w="0" w:type="dxa"/>
        </w:tblCellMar>
      </w:tblPr>
      <w:tblGrid>
        <w:gridCol w:w="780"/>
        <w:gridCol w:w="1080"/>
        <w:gridCol w:w="1590"/>
        <w:gridCol w:w="1065"/>
        <w:gridCol w:w="1695"/>
        <w:gridCol w:w="1065"/>
        <w:gridCol w:w="1239"/>
        <w:gridCol w:w="1410"/>
        <w:gridCol w:w="3294"/>
      </w:tblGrid>
      <w:tr>
        <w:tblPrEx>
          <w:shd w:val="clear" w:color="auto" w:fill="auto"/>
          <w:tblLayout w:type="fixed"/>
          <w:tblCellMar>
            <w:top w:w="0" w:type="dxa"/>
            <w:left w:w="0" w:type="dxa"/>
            <w:bottom w:w="0" w:type="dxa"/>
            <w:right w:w="0" w:type="dxa"/>
          </w:tblCellMar>
        </w:tblPrEx>
        <w:trPr>
          <w:trHeight w:val="574" w:hRule="exact"/>
          <w:jc w:val="center"/>
        </w:trPr>
        <w:tc>
          <w:tcPr>
            <w:tcW w:w="1321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提前下达2020年葡萄种植新建基地资金计划表</w:t>
            </w:r>
          </w:p>
        </w:tc>
      </w:tr>
      <w:tr>
        <w:tblPrEx>
          <w:tblLayout w:type="fixed"/>
          <w:tblCellMar>
            <w:top w:w="0" w:type="dxa"/>
            <w:left w:w="0" w:type="dxa"/>
            <w:bottom w:w="0" w:type="dxa"/>
            <w:right w:w="0" w:type="dxa"/>
          </w:tblCellMar>
        </w:tblPrEx>
        <w:trPr>
          <w:trHeight w:val="340" w:hRule="exact"/>
          <w:jc w:val="center"/>
        </w:trPr>
        <w:tc>
          <w:tcPr>
            <w:tcW w:w="78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方正小标宋_GBK" w:hAnsi="方正小标宋_GBK" w:eastAsia="方正小标宋_GBK" w:cs="方正小标宋_GBK"/>
                <w:i w:val="0"/>
                <w:color w:val="000000"/>
                <w:sz w:val="40"/>
                <w:szCs w:val="40"/>
                <w:u w:val="none"/>
              </w:rPr>
            </w:pPr>
          </w:p>
        </w:tc>
        <w:tc>
          <w:tcPr>
            <w:tcW w:w="108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方正小标宋_GBK" w:hAnsi="方正小标宋_GBK" w:eastAsia="方正小标宋_GBK" w:cs="方正小标宋_GBK"/>
                <w:i w:val="0"/>
                <w:color w:val="000000"/>
                <w:sz w:val="40"/>
                <w:szCs w:val="40"/>
                <w:u w:val="none"/>
              </w:rPr>
            </w:pPr>
          </w:p>
        </w:tc>
        <w:tc>
          <w:tcPr>
            <w:tcW w:w="11358"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2020年1月16日</w:t>
            </w:r>
          </w:p>
        </w:tc>
      </w:tr>
      <w:tr>
        <w:tblPrEx>
          <w:tblLayout w:type="fixed"/>
          <w:tblCellMar>
            <w:top w:w="0" w:type="dxa"/>
            <w:left w:w="0" w:type="dxa"/>
            <w:bottom w:w="0" w:type="dxa"/>
            <w:right w:w="0" w:type="dxa"/>
          </w:tblCellMar>
        </w:tblPrEx>
        <w:trPr>
          <w:trHeight w:val="624" w:hRule="exact"/>
          <w:jc w:val="center"/>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产业发展市县（区）</w:t>
            </w:r>
          </w:p>
        </w:tc>
        <w:tc>
          <w:tcPr>
            <w:tcW w:w="159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2020年新建基地上报计划种植面积（亩）</w:t>
            </w:r>
          </w:p>
        </w:tc>
        <w:tc>
          <w:tcPr>
            <w:tcW w:w="106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补助标准（元/亩）</w:t>
            </w:r>
          </w:p>
        </w:tc>
        <w:tc>
          <w:tcPr>
            <w:tcW w:w="169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按70%提前下达下达2020年新建基地补助（万元）</w:t>
            </w:r>
          </w:p>
        </w:tc>
        <w:tc>
          <w:tcPr>
            <w:tcW w:w="106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下达2019年缺口资金（万元）</w:t>
            </w:r>
          </w:p>
        </w:tc>
        <w:tc>
          <w:tcPr>
            <w:tcW w:w="123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抵减以前年度超额下达（万元）</w:t>
            </w:r>
          </w:p>
        </w:tc>
        <w:tc>
          <w:tcPr>
            <w:tcW w:w="141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提前下达2020年葡萄基地资金合计（万元）</w:t>
            </w:r>
          </w:p>
        </w:tc>
        <w:tc>
          <w:tcPr>
            <w:tcW w:w="329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备注</w:t>
            </w:r>
          </w:p>
        </w:tc>
      </w:tr>
      <w:tr>
        <w:tblPrEx>
          <w:tblLayout w:type="fixed"/>
          <w:tblCellMar>
            <w:top w:w="0" w:type="dxa"/>
            <w:left w:w="0" w:type="dxa"/>
            <w:bottom w:w="0" w:type="dxa"/>
            <w:right w:w="0" w:type="dxa"/>
          </w:tblCellMar>
        </w:tblPrEx>
        <w:trPr>
          <w:trHeight w:val="312"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24"/>
                <w:szCs w:val="24"/>
                <w:u w:val="none"/>
              </w:rPr>
            </w:pPr>
          </w:p>
        </w:tc>
        <w:tc>
          <w:tcPr>
            <w:tcW w:w="15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0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6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0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23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29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r>
      <w:tr>
        <w:tblPrEx>
          <w:tblLayout w:type="fixed"/>
          <w:tblCellMar>
            <w:top w:w="0" w:type="dxa"/>
            <w:left w:w="0" w:type="dxa"/>
            <w:bottom w:w="0" w:type="dxa"/>
            <w:right w:w="0" w:type="dxa"/>
          </w:tblCellMar>
        </w:tblPrEx>
        <w:trPr>
          <w:trHeight w:val="539" w:hRule="exact"/>
          <w:jc w:val="center"/>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合计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5400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1500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567 </w:t>
            </w:r>
          </w:p>
        </w:tc>
        <w:tc>
          <w:tcPr>
            <w:tcW w:w="106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1626</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191.04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2002 </w:t>
            </w:r>
          </w:p>
        </w:tc>
        <w:tc>
          <w:tcPr>
            <w:tcW w:w="3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b/>
                <w:i w:val="0"/>
                <w:color w:val="000000"/>
                <w:sz w:val="22"/>
                <w:szCs w:val="22"/>
                <w:u w:val="none"/>
              </w:rPr>
            </w:pPr>
          </w:p>
        </w:tc>
      </w:tr>
      <w:tr>
        <w:tblPrEx>
          <w:tblLayout w:type="fixed"/>
          <w:tblCellMar>
            <w:top w:w="0" w:type="dxa"/>
            <w:left w:w="0" w:type="dxa"/>
            <w:bottom w:w="0" w:type="dxa"/>
            <w:right w:w="0" w:type="dxa"/>
          </w:tblCellMar>
        </w:tblPrEx>
        <w:trPr>
          <w:trHeight w:val="454" w:hRule="exac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银川市</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1400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1500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147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728 </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129.05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746 </w:t>
            </w:r>
          </w:p>
        </w:tc>
        <w:tc>
          <w:tcPr>
            <w:tcW w:w="3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楷体_GB2312" w:hAnsi="宋体" w:eastAsia="楷体_GB2312" w:cs="楷体_GB2312"/>
                <w:b/>
                <w:i w:val="0"/>
                <w:color w:val="000000"/>
                <w:sz w:val="22"/>
                <w:szCs w:val="22"/>
                <w:u w:val="none"/>
              </w:rPr>
            </w:pPr>
          </w:p>
        </w:tc>
      </w:tr>
      <w:tr>
        <w:tblPrEx>
          <w:tblLayout w:type="fixed"/>
          <w:tblCellMar>
            <w:top w:w="0" w:type="dxa"/>
            <w:left w:w="0" w:type="dxa"/>
            <w:bottom w:w="0" w:type="dxa"/>
            <w:right w:w="0" w:type="dxa"/>
          </w:tblCellMar>
        </w:tblPrEx>
        <w:trPr>
          <w:trHeight w:val="454" w:hRule="exac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贺兰县</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1000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1500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105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楷体_GB2312" w:hAnsi="宋体" w:eastAsia="楷体_GB2312" w:cs="楷体_GB2312"/>
                <w:b/>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33.00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72 </w:t>
            </w:r>
          </w:p>
        </w:tc>
        <w:tc>
          <w:tcPr>
            <w:tcW w:w="3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抵扣2019年超额33万元</w:t>
            </w:r>
          </w:p>
        </w:tc>
      </w:tr>
      <w:tr>
        <w:tblPrEx>
          <w:tblLayout w:type="fixed"/>
          <w:tblCellMar>
            <w:top w:w="0" w:type="dxa"/>
            <w:left w:w="0" w:type="dxa"/>
            <w:bottom w:w="0" w:type="dxa"/>
            <w:right w:w="0" w:type="dxa"/>
          </w:tblCellMar>
        </w:tblPrEx>
        <w:trPr>
          <w:trHeight w:val="454" w:hRule="exac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西夏区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400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1500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42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103 </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5.65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139 </w:t>
            </w:r>
          </w:p>
        </w:tc>
        <w:tc>
          <w:tcPr>
            <w:tcW w:w="3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抵扣2018年超额下达5.65万元</w:t>
            </w:r>
          </w:p>
        </w:tc>
      </w:tr>
      <w:tr>
        <w:tblPrEx>
          <w:tblLayout w:type="fixed"/>
          <w:tblCellMar>
            <w:top w:w="0" w:type="dxa"/>
            <w:left w:w="0" w:type="dxa"/>
            <w:bottom w:w="0" w:type="dxa"/>
            <w:right w:w="0" w:type="dxa"/>
          </w:tblCellMar>
        </w:tblPrEx>
        <w:trPr>
          <w:trHeight w:val="454" w:hRule="exac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永宁县</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楷体_GB2312" w:hAnsi="宋体" w:eastAsia="楷体_GB2312" w:cs="楷体_GB2312"/>
                <w:b/>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楷体_GB2312" w:hAnsi="宋体" w:eastAsia="楷体_GB2312" w:cs="楷体_GB2312"/>
                <w:b/>
                <w:i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楷体_GB2312" w:hAnsi="宋体" w:eastAsia="楷体_GB2312" w:cs="楷体_GB2312"/>
                <w:b/>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531 </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楷体_GB2312" w:hAnsi="宋体" w:eastAsia="楷体_GB2312" w:cs="楷体_GB2312"/>
                <w:b/>
                <w:i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531 </w:t>
            </w:r>
          </w:p>
        </w:tc>
        <w:tc>
          <w:tcPr>
            <w:tcW w:w="3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eastAsia" w:ascii="楷体_GB2312" w:hAnsi="宋体" w:eastAsia="楷体_GB2312" w:cs="楷体_GB2312"/>
                <w:b/>
                <w:i w:val="0"/>
                <w:color w:val="000000"/>
                <w:sz w:val="22"/>
                <w:szCs w:val="22"/>
                <w:u w:val="none"/>
              </w:rPr>
            </w:pPr>
          </w:p>
        </w:tc>
      </w:tr>
      <w:tr>
        <w:tblPrEx>
          <w:tblLayout w:type="fixed"/>
          <w:tblCellMar>
            <w:top w:w="0" w:type="dxa"/>
            <w:left w:w="0" w:type="dxa"/>
            <w:bottom w:w="0" w:type="dxa"/>
            <w:right w:w="0" w:type="dxa"/>
          </w:tblCellMar>
        </w:tblPrEx>
        <w:trPr>
          <w:trHeight w:val="454" w:hRule="exac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金凤区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楷体_GB2312" w:hAnsi="宋体" w:eastAsia="楷体_GB2312" w:cs="楷体_GB2312"/>
                <w:b/>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楷体_GB2312" w:hAnsi="宋体" w:eastAsia="楷体_GB2312" w:cs="楷体_GB2312"/>
                <w:b/>
                <w:i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94 </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90.40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4 </w:t>
            </w:r>
          </w:p>
        </w:tc>
        <w:tc>
          <w:tcPr>
            <w:tcW w:w="3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抵扣2017年超额下达90.4万元</w:t>
            </w:r>
          </w:p>
        </w:tc>
      </w:tr>
      <w:tr>
        <w:tblPrEx>
          <w:tblLayout w:type="fixed"/>
          <w:tblCellMar>
            <w:top w:w="0" w:type="dxa"/>
            <w:left w:w="0" w:type="dxa"/>
            <w:bottom w:w="0" w:type="dxa"/>
            <w:right w:w="0" w:type="dxa"/>
          </w:tblCellMar>
        </w:tblPrEx>
        <w:trPr>
          <w:trHeight w:val="454" w:hRule="exac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吴忠市</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4000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1500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420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898 </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61.99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1256 </w:t>
            </w:r>
          </w:p>
        </w:tc>
        <w:tc>
          <w:tcPr>
            <w:tcW w:w="3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eastAsia" w:ascii="楷体_GB2312" w:hAnsi="宋体" w:eastAsia="楷体_GB2312" w:cs="楷体_GB2312"/>
                <w:b/>
                <w:i w:val="0"/>
                <w:color w:val="000000"/>
                <w:sz w:val="22"/>
                <w:szCs w:val="22"/>
                <w:u w:val="none"/>
              </w:rPr>
            </w:pPr>
          </w:p>
        </w:tc>
      </w:tr>
      <w:tr>
        <w:tblPrEx>
          <w:tblLayout w:type="fixed"/>
          <w:tblCellMar>
            <w:top w:w="0" w:type="dxa"/>
            <w:left w:w="0" w:type="dxa"/>
            <w:bottom w:w="0" w:type="dxa"/>
            <w:right w:w="0" w:type="dxa"/>
          </w:tblCellMar>
        </w:tblPrEx>
        <w:trPr>
          <w:trHeight w:val="454" w:hRule="exac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青铜峡市</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3000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1500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315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110 </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11.04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414 </w:t>
            </w:r>
          </w:p>
        </w:tc>
        <w:tc>
          <w:tcPr>
            <w:tcW w:w="3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抵扣2018年超额下达11.04万元</w:t>
            </w:r>
          </w:p>
        </w:tc>
      </w:tr>
      <w:tr>
        <w:tblPrEx>
          <w:tblLayout w:type="fixed"/>
          <w:tblCellMar>
            <w:top w:w="0" w:type="dxa"/>
            <w:left w:w="0" w:type="dxa"/>
            <w:bottom w:w="0" w:type="dxa"/>
            <w:right w:w="0" w:type="dxa"/>
          </w:tblCellMar>
        </w:tblPrEx>
        <w:trPr>
          <w:trHeight w:val="454" w:hRule="exac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红寺堡区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1000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1500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105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楷体_GB2312" w:hAnsi="宋体" w:eastAsia="楷体_GB2312" w:cs="楷体_GB2312"/>
                <w:b/>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50.95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54 </w:t>
            </w:r>
          </w:p>
        </w:tc>
        <w:tc>
          <w:tcPr>
            <w:tcW w:w="3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抵扣2019年新增超额9万元。抵扣2018年超额41.95万元</w:t>
            </w:r>
          </w:p>
        </w:tc>
      </w:tr>
      <w:tr>
        <w:tblPrEx>
          <w:tblLayout w:type="fixed"/>
          <w:tblCellMar>
            <w:top w:w="0" w:type="dxa"/>
            <w:left w:w="0" w:type="dxa"/>
            <w:bottom w:w="0" w:type="dxa"/>
            <w:right w:w="0" w:type="dxa"/>
          </w:tblCellMar>
        </w:tblPrEx>
        <w:trPr>
          <w:trHeight w:val="454" w:hRule="exac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同心县</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楷体_GB2312" w:hAnsi="宋体" w:eastAsia="楷体_GB2312" w:cs="楷体_GB2312"/>
                <w:b/>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楷体_GB2312" w:hAnsi="宋体" w:eastAsia="楷体_GB2312" w:cs="楷体_GB2312"/>
                <w:b/>
                <w:i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788 </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楷体_GB2312" w:hAnsi="宋体" w:eastAsia="楷体_GB2312" w:cs="楷体_GB2312"/>
                <w:b/>
                <w:i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 xml:space="preserve">788 </w:t>
            </w:r>
          </w:p>
        </w:tc>
        <w:tc>
          <w:tcPr>
            <w:tcW w:w="3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楷体_GB2312" w:hAnsi="宋体" w:eastAsia="楷体_GB2312" w:cs="楷体_GB2312"/>
                <w:b/>
                <w:i w:val="0"/>
                <w:color w:val="000000"/>
                <w:sz w:val="22"/>
                <w:szCs w:val="22"/>
                <w:u w:val="none"/>
              </w:rPr>
            </w:pPr>
            <w:r>
              <w:rPr>
                <w:rFonts w:hint="eastAsia" w:ascii="楷体_GB2312" w:hAnsi="宋体" w:eastAsia="楷体_GB2312" w:cs="楷体_GB2312"/>
                <w:b/>
                <w:i w:val="0"/>
                <w:color w:val="000000"/>
                <w:kern w:val="0"/>
                <w:sz w:val="22"/>
                <w:szCs w:val="22"/>
                <w:u w:val="none"/>
                <w:lang w:val="en-US" w:eastAsia="zh-CN" w:bidi="ar"/>
              </w:rPr>
              <w:t>2018年超额下达55.65万元本次未抵扣</w:t>
            </w:r>
          </w:p>
        </w:tc>
      </w:tr>
      <w:tr>
        <w:tblPrEx>
          <w:tblLayout w:type="fixed"/>
          <w:tblCellMar>
            <w:top w:w="0" w:type="dxa"/>
            <w:left w:w="0" w:type="dxa"/>
            <w:bottom w:w="0" w:type="dxa"/>
            <w:right w:w="0" w:type="dxa"/>
          </w:tblCellMar>
        </w:tblPrEx>
        <w:trPr>
          <w:trHeight w:val="285" w:hRule="atLeast"/>
          <w:jc w:val="center"/>
        </w:trPr>
        <w:tc>
          <w:tcPr>
            <w:tcW w:w="13218" w:type="dxa"/>
            <w:gridSpan w:val="9"/>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注：共计抵减以前年度超额下达资金191.04万元，其中：用2020年新建基地补助抵减以前年度超额下达资金83.95万元（贺兰县33万元、红寺堡区50.95万元）；用2019年缺口资金抵扣以前年度超额下达资金107.09万元（西夏区5.65万元、金凤区90.4万元、青铜峡11.04万元）</w:t>
            </w:r>
          </w:p>
        </w:tc>
      </w:tr>
      <w:tr>
        <w:tblPrEx>
          <w:tblLayout w:type="fixed"/>
          <w:tblCellMar>
            <w:top w:w="0" w:type="dxa"/>
            <w:left w:w="0" w:type="dxa"/>
            <w:bottom w:w="0" w:type="dxa"/>
            <w:right w:w="0" w:type="dxa"/>
          </w:tblCellMar>
        </w:tblPrEx>
        <w:trPr>
          <w:trHeight w:val="285" w:hRule="atLeast"/>
          <w:jc w:val="center"/>
        </w:trPr>
        <w:tc>
          <w:tcPr>
            <w:tcW w:w="13218" w:type="dxa"/>
            <w:gridSpan w:val="9"/>
            <w:vMerge w:val="continue"/>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2"/>
          <w:szCs w:val="32"/>
          <w:lang w:val="en-US" w:eastAsia="zh-CN"/>
        </w:rPr>
        <w:sectPr>
          <w:headerReference r:id="rId8" w:type="first"/>
          <w:footerReference r:id="rId11" w:type="first"/>
          <w:headerReference r:id="rId6" w:type="default"/>
          <w:footerReference r:id="rId9" w:type="default"/>
          <w:headerReference r:id="rId7" w:type="even"/>
          <w:footerReference r:id="rId10" w:type="even"/>
          <w:pgSz w:w="16838" w:h="11906" w:orient="landscape"/>
          <w:pgMar w:top="1587" w:right="2098" w:bottom="1474" w:left="1984" w:header="1984" w:footer="1417" w:gutter="0"/>
          <w:pgBorders>
            <w:top w:val="none" w:color="auto" w:sz="0" w:space="0"/>
            <w:left w:val="none" w:color="auto" w:sz="0" w:space="0"/>
            <w:bottom w:val="none" w:color="auto" w:sz="0" w:space="0"/>
            <w:right w:val="none" w:color="auto" w:sz="0" w:space="0"/>
          </w:pgBorders>
          <w:cols w:space="0" w:num="1"/>
          <w:titlePg/>
          <w:rtlGutter w:val="0"/>
          <w:docGrid w:type="lines" w:linePitch="315" w:charSpace="0"/>
        </w:sect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tbl>
      <w:tblPr>
        <w:tblStyle w:val="6"/>
        <w:tblW w:w="8708" w:type="dxa"/>
        <w:jc w:val="center"/>
        <w:tblInd w:w="0" w:type="dxa"/>
        <w:shd w:val="clear" w:color="auto" w:fill="auto"/>
        <w:tblLayout w:type="fixed"/>
        <w:tblCellMar>
          <w:top w:w="0" w:type="dxa"/>
          <w:left w:w="0" w:type="dxa"/>
          <w:bottom w:w="0" w:type="dxa"/>
          <w:right w:w="0" w:type="dxa"/>
        </w:tblCellMar>
      </w:tblPr>
      <w:tblGrid>
        <w:gridCol w:w="850"/>
        <w:gridCol w:w="694"/>
        <w:gridCol w:w="1044"/>
        <w:gridCol w:w="1200"/>
        <w:gridCol w:w="1575"/>
        <w:gridCol w:w="3345"/>
      </w:tblGrid>
      <w:tr>
        <w:tblPrEx>
          <w:shd w:val="clear" w:color="auto" w:fill="auto"/>
          <w:tblLayout w:type="fixed"/>
          <w:tblCellMar>
            <w:top w:w="0" w:type="dxa"/>
            <w:left w:w="0" w:type="dxa"/>
            <w:bottom w:w="0" w:type="dxa"/>
            <w:right w:w="0" w:type="dxa"/>
          </w:tblCellMar>
        </w:tblPrEx>
        <w:trPr>
          <w:trHeight w:val="1020" w:hRule="atLeast"/>
          <w:jc w:val="center"/>
        </w:trPr>
        <w:tc>
          <w:tcPr>
            <w:tcW w:w="8708"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2020年葡萄种植新建基地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olor w:val="000000"/>
                <w:sz w:val="40"/>
                <w:szCs w:val="40"/>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（市县区转移支付项目）绩效目标表</w:t>
            </w:r>
          </w:p>
        </w:tc>
      </w:tr>
      <w:tr>
        <w:tblPrEx>
          <w:tblLayout w:type="fixed"/>
          <w:tblCellMar>
            <w:top w:w="0" w:type="dxa"/>
            <w:left w:w="0" w:type="dxa"/>
            <w:bottom w:w="0" w:type="dxa"/>
            <w:right w:w="0" w:type="dxa"/>
          </w:tblCellMar>
        </w:tblPrEx>
        <w:trPr>
          <w:trHeight w:val="520" w:hRule="atLeast"/>
          <w:jc w:val="center"/>
        </w:trPr>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专项名称</w:t>
            </w:r>
          </w:p>
        </w:tc>
        <w:tc>
          <w:tcPr>
            <w:tcW w:w="71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葡萄优新苗木种植高标准新建基地项目</w:t>
            </w:r>
          </w:p>
        </w:tc>
      </w:tr>
      <w:tr>
        <w:tblPrEx>
          <w:tblLayout w:type="fixed"/>
          <w:tblCellMar>
            <w:top w:w="0" w:type="dxa"/>
            <w:left w:w="0" w:type="dxa"/>
            <w:bottom w:w="0" w:type="dxa"/>
            <w:right w:w="0" w:type="dxa"/>
          </w:tblCellMar>
        </w:tblPrEx>
        <w:trPr>
          <w:trHeight w:val="460" w:hRule="atLeast"/>
          <w:jc w:val="center"/>
        </w:trPr>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中央主管部门</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专项实施期</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一年</w:t>
            </w:r>
          </w:p>
        </w:tc>
      </w:tr>
      <w:tr>
        <w:tblPrEx>
          <w:tblLayout w:type="fixed"/>
          <w:tblCellMar>
            <w:top w:w="0" w:type="dxa"/>
            <w:left w:w="0" w:type="dxa"/>
            <w:bottom w:w="0" w:type="dxa"/>
            <w:right w:w="0" w:type="dxa"/>
          </w:tblCellMar>
        </w:tblPrEx>
        <w:trPr>
          <w:trHeight w:val="620" w:hRule="atLeast"/>
          <w:jc w:val="center"/>
        </w:trPr>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省级财政部门</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宁夏回族自治区财政厅</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省级主管部门</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宁夏贺兰山东麓葡萄</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产业园区管委会</w:t>
            </w:r>
          </w:p>
        </w:tc>
      </w:tr>
      <w:tr>
        <w:tblPrEx>
          <w:tblLayout w:type="fixed"/>
          <w:tblCellMar>
            <w:top w:w="0" w:type="dxa"/>
            <w:left w:w="0" w:type="dxa"/>
            <w:bottom w:w="0" w:type="dxa"/>
            <w:right w:w="0" w:type="dxa"/>
          </w:tblCellMar>
        </w:tblPrEx>
        <w:trPr>
          <w:trHeight w:val="660" w:hRule="atLeast"/>
          <w:jc w:val="center"/>
        </w:trPr>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县级财政部门</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西夏区、金凤区、贺兰县、永宁县、青铜峡、红寺堡区、同心县财政局</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县级主管部门</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西夏区、金凤区、贺兰县、永宁县、青铜峡、红寺堡区、同心县等农业农村局</w:t>
            </w:r>
          </w:p>
        </w:tc>
      </w:tr>
      <w:tr>
        <w:tblPrEx>
          <w:tblLayout w:type="fixed"/>
          <w:tblCellMar>
            <w:top w:w="0" w:type="dxa"/>
            <w:left w:w="0" w:type="dxa"/>
            <w:bottom w:w="0" w:type="dxa"/>
            <w:right w:w="0" w:type="dxa"/>
          </w:tblCellMar>
        </w:tblPrEx>
        <w:trPr>
          <w:trHeight w:val="480" w:hRule="atLeast"/>
          <w:jc w:val="center"/>
        </w:trPr>
        <w:tc>
          <w:tcPr>
            <w:tcW w:w="15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资金情况</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（万元）</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年度金额：</w:t>
            </w:r>
          </w:p>
        </w:tc>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2002</w:t>
            </w:r>
          </w:p>
        </w:tc>
      </w:tr>
      <w:tr>
        <w:tblPrEx>
          <w:tblLayout w:type="fixed"/>
          <w:tblCellMar>
            <w:top w:w="0" w:type="dxa"/>
            <w:left w:w="0" w:type="dxa"/>
            <w:bottom w:w="0" w:type="dxa"/>
            <w:right w:w="0" w:type="dxa"/>
          </w:tblCellMar>
        </w:tblPrEx>
        <w:trPr>
          <w:trHeight w:val="420" w:hRule="atLeast"/>
          <w:jc w:val="center"/>
        </w:trPr>
        <w:tc>
          <w:tcPr>
            <w:tcW w:w="15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其中：中央补助</w:t>
            </w:r>
          </w:p>
        </w:tc>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r>
      <w:tr>
        <w:tblPrEx>
          <w:tblLayout w:type="fixed"/>
          <w:tblCellMar>
            <w:top w:w="0" w:type="dxa"/>
            <w:left w:w="0" w:type="dxa"/>
            <w:bottom w:w="0" w:type="dxa"/>
            <w:right w:w="0" w:type="dxa"/>
          </w:tblCellMar>
        </w:tblPrEx>
        <w:trPr>
          <w:trHeight w:val="560" w:hRule="atLeast"/>
          <w:jc w:val="center"/>
        </w:trPr>
        <w:tc>
          <w:tcPr>
            <w:tcW w:w="15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地方资金</w:t>
            </w:r>
          </w:p>
        </w:tc>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2002</w:t>
            </w:r>
          </w:p>
        </w:tc>
      </w:tr>
      <w:tr>
        <w:tblPrEx>
          <w:tblLayout w:type="fixed"/>
          <w:tblCellMar>
            <w:top w:w="0" w:type="dxa"/>
            <w:left w:w="0" w:type="dxa"/>
            <w:bottom w:w="0" w:type="dxa"/>
            <w:right w:w="0" w:type="dxa"/>
          </w:tblCellMar>
        </w:tblPrEx>
        <w:trPr>
          <w:trHeight w:val="1080" w:hRule="atLeast"/>
          <w:jc w:val="center"/>
        </w:trPr>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年度目标</w:t>
            </w:r>
          </w:p>
        </w:tc>
        <w:tc>
          <w:tcPr>
            <w:tcW w:w="71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2020年对市县（区）转移支付项目：1.葡萄优新苗木种植高标准新建基地面积5400亩，其中：西夏区400亩、贺兰县1000亩，青铜峡市3000亩，红寺堡区1000亩。补助标准每亩1500元。2.完成西夏区、金凤区、永宁县、青铜峡、同心县等2019年新建基地缺口资金补助。保证苗木成活率达90%以上，病虫害发病率小于等于5%。增产增收促进产业良性发展，带动全区旅游、餐饮等产业发展。</w:t>
            </w:r>
          </w:p>
        </w:tc>
      </w:tr>
      <w:tr>
        <w:tblPrEx>
          <w:tblLayout w:type="fixed"/>
          <w:tblCellMar>
            <w:top w:w="0" w:type="dxa"/>
            <w:left w:w="0" w:type="dxa"/>
            <w:bottom w:w="0" w:type="dxa"/>
            <w:right w:w="0" w:type="dxa"/>
          </w:tblCellMar>
        </w:tblPrEx>
        <w:trPr>
          <w:trHeight w:val="540" w:hRule="atLeast"/>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绩</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效</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指</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标</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一级</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指标</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二级指标</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三级指标</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指标值</w:t>
            </w:r>
          </w:p>
        </w:tc>
      </w:tr>
      <w:tr>
        <w:tblPrEx>
          <w:tblLayout w:type="fixed"/>
          <w:tblCellMar>
            <w:top w:w="0" w:type="dxa"/>
            <w:left w:w="0" w:type="dxa"/>
            <w:bottom w:w="0" w:type="dxa"/>
            <w:right w:w="0" w:type="dxa"/>
          </w:tblCellMar>
        </w:tblPrEx>
        <w:trPr>
          <w:trHeight w:val="48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产</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指</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标</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数量指标</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2020年新建基地种植面积</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5400亩</w:t>
            </w:r>
          </w:p>
        </w:tc>
      </w:tr>
      <w:tr>
        <w:tblPrEx>
          <w:tblLayout w:type="fixed"/>
          <w:tblCellMar>
            <w:top w:w="0" w:type="dxa"/>
            <w:left w:w="0" w:type="dxa"/>
            <w:bottom w:w="0" w:type="dxa"/>
            <w:right w:w="0" w:type="dxa"/>
          </w:tblCellMar>
        </w:tblPrEx>
        <w:trPr>
          <w:trHeight w:val="48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2019年新建基地缺口资金补助</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1519万元</w:t>
            </w:r>
          </w:p>
        </w:tc>
      </w:tr>
      <w:tr>
        <w:tblPrEx>
          <w:tblLayout w:type="fixed"/>
          <w:tblCellMar>
            <w:top w:w="0" w:type="dxa"/>
            <w:left w:w="0" w:type="dxa"/>
            <w:bottom w:w="0" w:type="dxa"/>
            <w:right w:w="0" w:type="dxa"/>
          </w:tblCellMar>
        </w:tblPrEx>
        <w:trPr>
          <w:trHeight w:val="44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质量指标</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做好苗木病虫害统防统治工作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Style w:val="8"/>
                <w:rFonts w:hint="default" w:ascii="Times New Roman" w:hAnsi="Times New Roman" w:eastAsia="仿宋_GB2312" w:cs="Times New Roman"/>
                <w:sz w:val="24"/>
                <w:szCs w:val="24"/>
                <w:lang w:val="en-US" w:eastAsia="zh-CN" w:bidi="ar"/>
              </w:rPr>
              <w:t>病虫害发病率</w:t>
            </w:r>
            <w:r>
              <w:rPr>
                <w:rStyle w:val="9"/>
                <w:rFonts w:hint="default" w:ascii="Times New Roman" w:hAnsi="Times New Roman" w:eastAsia="仿宋_GB2312" w:cs="Times New Roman"/>
                <w:sz w:val="24"/>
                <w:szCs w:val="24"/>
                <w:lang w:val="en-US" w:eastAsia="zh-CN" w:bidi="ar"/>
              </w:rPr>
              <w:t>≦</w:t>
            </w:r>
            <w:r>
              <w:rPr>
                <w:rStyle w:val="8"/>
                <w:rFonts w:hint="default" w:ascii="Times New Roman" w:hAnsi="Times New Roman" w:eastAsia="仿宋_GB2312" w:cs="Times New Roman"/>
                <w:sz w:val="24"/>
                <w:szCs w:val="24"/>
                <w:lang w:val="en-US" w:eastAsia="zh-CN" w:bidi="ar"/>
              </w:rPr>
              <w:t>5%</w:t>
            </w:r>
          </w:p>
        </w:tc>
      </w:tr>
      <w:tr>
        <w:tblPrEx>
          <w:tblLayout w:type="fixed"/>
          <w:tblCellMar>
            <w:top w:w="0" w:type="dxa"/>
            <w:left w:w="0" w:type="dxa"/>
            <w:bottom w:w="0" w:type="dxa"/>
            <w:right w:w="0" w:type="dxa"/>
          </w:tblCellMar>
        </w:tblPrEx>
        <w:trPr>
          <w:trHeight w:val="48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提高苗木成活率</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90%以上</w:t>
            </w:r>
          </w:p>
        </w:tc>
      </w:tr>
      <w:tr>
        <w:tblPrEx>
          <w:tblLayout w:type="fixed"/>
          <w:tblCellMar>
            <w:top w:w="0" w:type="dxa"/>
            <w:left w:w="0" w:type="dxa"/>
            <w:bottom w:w="0" w:type="dxa"/>
            <w:right w:w="0" w:type="dxa"/>
          </w:tblCellMar>
        </w:tblPrEx>
        <w:trPr>
          <w:trHeight w:val="46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时效指标</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资金计划</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转移支付项目3月份提前下达</w:t>
            </w:r>
          </w:p>
        </w:tc>
      </w:tr>
      <w:tr>
        <w:tblPrEx>
          <w:tblLayout w:type="fixed"/>
          <w:tblCellMar>
            <w:top w:w="0" w:type="dxa"/>
            <w:left w:w="0" w:type="dxa"/>
            <w:bottom w:w="0" w:type="dxa"/>
            <w:right w:w="0"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成本指标</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新建基地补助标准</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1500元/亩</w:t>
            </w:r>
          </w:p>
        </w:tc>
      </w:tr>
      <w:tr>
        <w:tblPrEx>
          <w:tblLayout w:type="fixed"/>
          <w:tblCellMar>
            <w:top w:w="0" w:type="dxa"/>
            <w:left w:w="0" w:type="dxa"/>
            <w:bottom w:w="0" w:type="dxa"/>
            <w:right w:w="0" w:type="dxa"/>
          </w:tblCellMar>
        </w:tblPrEx>
        <w:trPr>
          <w:trHeight w:val="64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效</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益</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指</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标</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社会效益</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指标</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葡萄产业发展带动餐饮、旅游等其他产业发展</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良好</w:t>
            </w:r>
          </w:p>
        </w:tc>
      </w:tr>
      <w:tr>
        <w:tblPrEx>
          <w:tblLayout w:type="fixed"/>
          <w:tblCellMar>
            <w:top w:w="0" w:type="dxa"/>
            <w:left w:w="0" w:type="dxa"/>
            <w:bottom w:w="0" w:type="dxa"/>
            <w:right w:w="0" w:type="dxa"/>
          </w:tblCellMar>
        </w:tblPrEx>
        <w:trPr>
          <w:trHeight w:val="54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加快资源优势向经济优势转化</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建设高标准规模化葡萄园</w:t>
            </w:r>
          </w:p>
        </w:tc>
      </w:tr>
      <w:tr>
        <w:tblPrEx>
          <w:tblLayout w:type="fixed"/>
          <w:tblCellMar>
            <w:top w:w="0" w:type="dxa"/>
            <w:left w:w="0" w:type="dxa"/>
            <w:bottom w:w="0" w:type="dxa"/>
            <w:right w:w="0" w:type="dxa"/>
          </w:tblCellMar>
        </w:tblPrEx>
        <w:trPr>
          <w:trHeight w:val="56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提供就业岗位，增加葡萄园区农户收入</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良好</w:t>
            </w:r>
          </w:p>
        </w:tc>
      </w:tr>
      <w:tr>
        <w:tblPrEx>
          <w:tblLayout w:type="fixed"/>
          <w:tblCellMar>
            <w:top w:w="0" w:type="dxa"/>
            <w:left w:w="0" w:type="dxa"/>
            <w:bottom w:w="0" w:type="dxa"/>
            <w:right w:w="0"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资金使用重大违规违纪问题</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无</w:t>
            </w:r>
          </w:p>
        </w:tc>
      </w:tr>
      <w:tr>
        <w:tblPrEx>
          <w:tblLayout w:type="fixed"/>
          <w:tblCellMar>
            <w:top w:w="0" w:type="dxa"/>
            <w:left w:w="0" w:type="dxa"/>
            <w:bottom w:w="0" w:type="dxa"/>
            <w:right w:w="0" w:type="dxa"/>
          </w:tblCellMar>
        </w:tblPrEx>
        <w:trPr>
          <w:trHeight w:val="48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104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经济效益</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增产增效，促进产业良性发展</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产生直接或间接经济效益</w:t>
            </w:r>
          </w:p>
        </w:tc>
      </w:tr>
      <w:tr>
        <w:tblPrEx>
          <w:tblLayout w:type="fixed"/>
          <w:tblCellMar>
            <w:top w:w="0" w:type="dxa"/>
            <w:left w:w="0" w:type="dxa"/>
            <w:bottom w:w="0" w:type="dxa"/>
            <w:right w:w="0" w:type="dxa"/>
          </w:tblCellMar>
        </w:tblPrEx>
        <w:trPr>
          <w:trHeight w:val="84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生态效益指标</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充分利用山荒地资源，改善生态环境。酒庄绿化及防护林建设大幅度提高产区森林覆盖率</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植被覆盖率80%以上</w:t>
            </w:r>
          </w:p>
        </w:tc>
      </w:tr>
      <w:tr>
        <w:tblPrEx>
          <w:tblLayout w:type="fixed"/>
          <w:tblCellMar>
            <w:top w:w="0" w:type="dxa"/>
            <w:left w:w="0" w:type="dxa"/>
            <w:bottom w:w="0" w:type="dxa"/>
            <w:right w:w="0" w:type="dxa"/>
          </w:tblCellMar>
        </w:tblPrEx>
        <w:trPr>
          <w:trHeight w:val="78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277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形态各异的酒庄及葡萄园，成为贺兰山东麓靓丽的风景线和生态屏障。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良性发展</w:t>
            </w:r>
          </w:p>
        </w:tc>
      </w:tr>
      <w:tr>
        <w:tblPrEx>
          <w:tblLayout w:type="fixed"/>
          <w:tblCellMar>
            <w:top w:w="0" w:type="dxa"/>
            <w:left w:w="0" w:type="dxa"/>
            <w:bottom w:w="0" w:type="dxa"/>
            <w:right w:w="0" w:type="dxa"/>
          </w:tblCellMar>
        </w:tblPrEx>
        <w:trPr>
          <w:trHeight w:val="6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满意度指标</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服务对象</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满意度指标</w:t>
            </w:r>
          </w:p>
        </w:tc>
        <w:tc>
          <w:tcPr>
            <w:tcW w:w="277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社会公众或服务对象满意度</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≥85%</w:t>
            </w:r>
          </w:p>
        </w:tc>
      </w:tr>
    </w:tbl>
    <w:p>
      <w:pPr>
        <w:bidi w:val="0"/>
        <w:jc w:val="both"/>
        <w:rPr>
          <w:rFonts w:hint="default" w:ascii="Times New Roman" w:hAnsi="Times New Roman" w:eastAsia="仿宋_GB2312" w:cs="Times New Roman"/>
          <w:sz w:val="32"/>
          <w:szCs w:val="32"/>
          <w:lang w:val="en-US" w:eastAsia="zh-CN"/>
        </w:rPr>
      </w:pPr>
    </w:p>
    <w:p>
      <w:pPr>
        <w:bidi w:val="0"/>
        <w:jc w:val="both"/>
        <w:rPr>
          <w:rFonts w:hint="default" w:ascii="Times New Roman" w:hAnsi="Times New Roman" w:eastAsia="仿宋_GB2312" w:cs="Times New Roman"/>
          <w:sz w:val="32"/>
          <w:szCs w:val="32"/>
          <w:lang w:val="en-US" w:eastAsia="zh-CN"/>
        </w:rPr>
      </w:pPr>
    </w:p>
    <w:p>
      <w:pPr>
        <w:bidi w:val="0"/>
        <w:jc w:val="both"/>
        <w:rPr>
          <w:rFonts w:hint="default" w:ascii="Times New Roman" w:hAnsi="Times New Roman" w:eastAsia="仿宋_GB2312" w:cs="Times New Roman"/>
          <w:sz w:val="32"/>
          <w:szCs w:val="32"/>
          <w:lang w:val="en-US" w:eastAsia="zh-CN"/>
        </w:rPr>
      </w:pPr>
    </w:p>
    <w:p>
      <w:pPr>
        <w:bidi w:val="0"/>
        <w:jc w:val="both"/>
        <w:rPr>
          <w:rFonts w:hint="default" w:ascii="Times New Roman" w:hAnsi="Times New Roman" w:eastAsia="仿宋_GB2312" w:cs="Times New Roman"/>
          <w:sz w:val="32"/>
          <w:szCs w:val="32"/>
          <w:lang w:val="en-US" w:eastAsia="zh-CN"/>
        </w:rPr>
      </w:pPr>
    </w:p>
    <w:p>
      <w:pPr>
        <w:bidi w:val="0"/>
        <w:jc w:val="both"/>
        <w:rPr>
          <w:rFonts w:hint="default" w:ascii="Times New Roman" w:hAnsi="Times New Roman" w:eastAsia="仿宋_GB2312" w:cs="Times New Roman"/>
          <w:sz w:val="32"/>
          <w:szCs w:val="32"/>
          <w:lang w:val="en-US" w:eastAsia="zh-CN"/>
        </w:rPr>
      </w:pPr>
    </w:p>
    <w:p>
      <w:pPr>
        <w:bidi w:val="0"/>
        <w:jc w:val="both"/>
        <w:rPr>
          <w:rFonts w:hint="default" w:ascii="Times New Roman" w:hAnsi="Times New Roman" w:eastAsia="仿宋_GB2312" w:cs="Times New Roman"/>
          <w:sz w:val="32"/>
          <w:szCs w:val="32"/>
          <w:lang w:val="en-US" w:eastAsia="zh-CN"/>
        </w:rPr>
      </w:pPr>
    </w:p>
    <w:p>
      <w:pPr>
        <w:bidi w:val="0"/>
        <w:jc w:val="both"/>
        <w:rPr>
          <w:rFonts w:hint="default" w:ascii="Times New Roman" w:hAnsi="Times New Roman" w:eastAsia="仿宋_GB2312" w:cs="Times New Roman"/>
          <w:sz w:val="32"/>
          <w:szCs w:val="32"/>
          <w:lang w:val="en-US" w:eastAsia="zh-CN"/>
        </w:rPr>
      </w:pPr>
    </w:p>
    <w:p>
      <w:pPr>
        <w:bidi w:val="0"/>
        <w:jc w:val="both"/>
        <w:rPr>
          <w:rFonts w:hint="default" w:ascii="Times New Roman" w:hAnsi="Times New Roman" w:eastAsia="仿宋_GB2312" w:cs="Times New Roman"/>
          <w:sz w:val="32"/>
          <w:szCs w:val="32"/>
          <w:lang w:val="en-US" w:eastAsia="zh-CN"/>
        </w:rPr>
      </w:pPr>
    </w:p>
    <w:tbl>
      <w:tblPr>
        <w:tblStyle w:val="7"/>
        <w:tblpPr w:leftFromText="180" w:rightFromText="180" w:vertAnchor="text" w:horzAnchor="page" w:tblpXSpec="center" w:tblpY="10018"/>
        <w:tblOverlap w:val="never"/>
        <w:tblW w:w="9603" w:type="dxa"/>
        <w:jc w:val="center"/>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603"/>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15" w:hRule="atLeast"/>
          <w:jc w:val="center"/>
        </w:trPr>
        <w:tc>
          <w:tcPr>
            <w:tcW w:w="9603"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40" w:firstLineChars="100"/>
              <w:jc w:val="both"/>
              <w:textAlignment w:val="auto"/>
              <w:outlineLvl w:val="9"/>
              <w:rPr>
                <w:rFonts w:hint="default" w:ascii="Times New Roman" w:hAnsi="Times New Roman" w:eastAsia="仿宋_GB2312" w:cs="Times New Roman"/>
                <w:color w:val="auto"/>
                <w:spacing w:val="-20"/>
                <w:sz w:val="28"/>
                <w:szCs w:val="28"/>
                <w:vertAlign w:val="baseline"/>
                <w:lang w:val="en-US" w:eastAsia="zh-CN"/>
              </w:rPr>
            </w:pPr>
            <w:r>
              <w:rPr>
                <w:rFonts w:hint="default" w:ascii="Times New Roman" w:hAnsi="Times New Roman" w:eastAsia="仿宋_GB2312" w:cs="Times New Roman"/>
                <w:color w:val="auto"/>
                <w:spacing w:val="-20"/>
                <w:sz w:val="28"/>
                <w:szCs w:val="28"/>
                <w:vertAlign w:val="baseline"/>
                <w:lang w:val="en-US" w:eastAsia="zh-CN"/>
              </w:rPr>
              <w:t>宁夏贺兰山东麓葡萄产业园区管委会综合处</w:t>
            </w:r>
            <w:r>
              <w:rPr>
                <w:rFonts w:hint="default" w:ascii="Times New Roman" w:hAnsi="Times New Roman" w:eastAsia="仿宋_GB2312" w:cs="Times New Roman"/>
                <w:color w:val="auto"/>
                <w:spacing w:val="0"/>
                <w:sz w:val="28"/>
                <w:szCs w:val="28"/>
                <w:vertAlign w:val="baseline"/>
                <w:lang w:val="en-US" w:eastAsia="zh-CN"/>
              </w:rPr>
              <w:t xml:space="preserve">     </w:t>
            </w:r>
            <w:r>
              <w:rPr>
                <w:rFonts w:hint="eastAsia" w:ascii="Times New Roman" w:hAnsi="Times New Roman" w:eastAsia="仿宋_GB2312" w:cs="Times New Roman"/>
                <w:color w:val="auto"/>
                <w:spacing w:val="0"/>
                <w:sz w:val="28"/>
                <w:szCs w:val="28"/>
                <w:vertAlign w:val="baseline"/>
                <w:lang w:val="en-US" w:eastAsia="zh-CN"/>
              </w:rPr>
              <w:t xml:space="preserve">      </w:t>
            </w:r>
            <w:r>
              <w:rPr>
                <w:rFonts w:hint="eastAsia" w:ascii="仿宋_GB2312" w:hAnsi="仿宋_GB2312" w:eastAsia="仿宋_GB2312" w:cs="仿宋_GB2312"/>
                <w:color w:val="auto"/>
                <w:spacing w:val="0"/>
                <w:sz w:val="28"/>
                <w:szCs w:val="28"/>
                <w:vertAlign w:val="baseline"/>
                <w:lang w:val="en-US" w:eastAsia="zh-CN"/>
              </w:rPr>
              <w:t>2020年1月22日印</w:t>
            </w:r>
            <w:r>
              <w:rPr>
                <w:rFonts w:hint="default" w:ascii="Times New Roman" w:hAnsi="Times New Roman" w:eastAsia="仿宋_GB2312" w:cs="Times New Roman"/>
                <w:color w:val="auto"/>
                <w:spacing w:val="0"/>
                <w:sz w:val="28"/>
                <w:szCs w:val="28"/>
                <w:vertAlign w:val="baseline"/>
                <w:lang w:val="en-US" w:eastAsia="zh-CN"/>
              </w:rPr>
              <w:t>发</w:t>
            </w:r>
          </w:p>
        </w:tc>
      </w:tr>
    </w:tbl>
    <w:p>
      <w:pPr>
        <w:bidi w:val="0"/>
        <w:jc w:val="both"/>
        <w:rPr>
          <w:rFonts w:hint="default" w:ascii="Times New Roman" w:hAnsi="Times New Roman" w:eastAsia="仿宋_GB2312" w:cs="Times New Roman"/>
          <w:sz w:val="32"/>
          <w:szCs w:val="32"/>
          <w:lang w:val="en-US" w:eastAsia="zh-CN"/>
        </w:rPr>
      </w:pPr>
    </w:p>
    <w:sectPr>
      <w:headerReference r:id="rId14" w:type="first"/>
      <w:footerReference r:id="rId17" w:type="first"/>
      <w:headerReference r:id="rId12" w:type="default"/>
      <w:footerReference r:id="rId15" w:type="default"/>
      <w:headerReference r:id="rId13" w:type="even"/>
      <w:footerReference r:id="rId16" w:type="even"/>
      <w:pgSz w:w="11906" w:h="16838"/>
      <w:pgMar w:top="2098" w:right="1474" w:bottom="1984" w:left="1587" w:header="1984" w:footer="1417" w:gutter="0"/>
      <w:pgBorders>
        <w:top w:val="none" w:color="auto" w:sz="0" w:space="0"/>
        <w:left w:val="none" w:color="auto" w:sz="0" w:space="0"/>
        <w:bottom w:val="none" w:color="auto" w:sz="0" w:space="0"/>
        <w:right w:val="none" w:color="auto" w:sz="0" w:space="0"/>
      </w:pgBorders>
      <w:cols w:space="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4886325</wp:posOffset>
              </wp:positionH>
              <wp:positionV relativeFrom="paragraph">
                <wp:posOffset>0</wp:posOffset>
              </wp:positionV>
              <wp:extent cx="729615" cy="2978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29615"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3</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4.75pt;margin-top:0pt;height:23.45pt;width:57.45pt;mso-position-horizontal-relative:margin;z-index:251658240;mso-width-relative:page;mso-height-relative:page;" filled="f" stroked="f" coordsize="21600,21600" o:gfxdata="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nKrxNYAAAAHAQAA&#10;DwAAAAAAAAABACAAAAAiAAAAZHJzL2Rvd25yZXYueG1sUEsBAhQAFAAAAAgAh07iQA7jnVcbAgAA&#10;EwQAAA4AAAAAAAAAAQAgAAAAJQEAAGRycy9lMm9Eb2MueG1sUEsFBgAAAAAGAAYAWQEAALIFAAAA&#10;AA==&#10;">
              <v:fill on="f" focussize="0,0"/>
              <v:stroke on="f" weight="0.5pt"/>
              <v:imagedata o:title=""/>
              <o:lock v:ext="edit" aspectratio="f"/>
              <v:textbox inset="0mm,0mm,0mm,0mm">
                <w:txbxContent>
                  <w:p>
                    <w:pPr>
                      <w:pStyle w:val="3"/>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3</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-10160</wp:posOffset>
              </wp:positionH>
              <wp:positionV relativeFrom="paragraph">
                <wp:posOffset>19050</wp:posOffset>
              </wp:positionV>
              <wp:extent cx="768350" cy="27813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68350"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8pt;margin-top:1.5pt;height:21.9pt;width:60.5pt;mso-position-horizontal-relative:margin;z-index:251659264;mso-width-relative:page;mso-height-relative:page;" filled="f" stroked="f" coordsize="21600,21600" o:gfxdata="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EQRA9YAAAAHAQAADwAA&#10;AAAAAAABACAAAAAiAAAAZHJzL2Rvd25yZXYueG1sUEsBAhQAFAAAAAgAh07iQCNma+sYAgAAEwQA&#10;AA4AAAAAAAAAAQAgAAAAJQEAAGRycy9lMm9Eb2MueG1sUEsFBgAAAAAGAAYAWQEAAK8FAAAAAA==&#10;">
              <v:fill on="f" focussize="0,0"/>
              <v:stroke on="f" weight="0.5pt"/>
              <v:imagedata o:title=""/>
              <o:lock v:ext="edit" aspectratio="f"/>
              <v:textbox inset="0mm,0mm,0mm,0mm">
                <w:txbxContent>
                  <w:p>
                    <w:pPr>
                      <w:pStyle w:val="3"/>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4800600</wp:posOffset>
              </wp:positionH>
              <wp:positionV relativeFrom="paragraph">
                <wp:posOffset>110490</wp:posOffset>
              </wp:positionV>
              <wp:extent cx="805815" cy="279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05815"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8pt;margin-top:8.7pt;height:22pt;width:63.45pt;mso-position-horizontal-relative:margin;z-index:251660288;mso-width-relative:page;mso-height-relative:page;" filled="f" stroked="f" coordsize="21600,21600" o:gfxdata="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vh2l2AAAAAkB&#10;AAAPAAAAAAAAAAEAIAAAACIAAABkcnMvZG93bnJldi54bWxQSwECFAAUAAAACACHTuJAe6KW7hsC&#10;AAATBAAADgAAAAAAAAABACAAAAAnAQAAZHJzL2Uyb0RvYy54bWxQSwUGAAAAAAYABgBZAQAAtAUA&#10;AAAA&#10;">
              <v:fill on="f" focussize="0,0"/>
              <v:stroke on="f" weight="0.5pt"/>
              <v:imagedata o:title=""/>
              <o:lock v:ext="edit" aspectratio="f"/>
              <v:textbox inset="0mm,0mm,0mm,0mm">
                <w:txbxContent>
                  <w:p>
                    <w:pPr>
                      <w:pStyle w:val="3"/>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posOffset>4886325</wp:posOffset>
              </wp:positionH>
              <wp:positionV relativeFrom="paragraph">
                <wp:posOffset>0</wp:posOffset>
              </wp:positionV>
              <wp:extent cx="729615" cy="29781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29615"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3</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4.75pt;margin-top:0pt;height:23.45pt;width:57.45pt;mso-position-horizontal-relative:margin;z-index:251661312;mso-width-relative:page;mso-height-relative:page;" filled="f" stroked="f" coordsize="21600,21600" o:gfxdata="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nKrxNYAAAAHAQAA&#10;DwAAAAAAAAABACAAAAAiAAAAZHJzL2Rvd25yZXYueG1sUEsBAhQAFAAAAAgAh07iQMRSm50bAgAA&#10;FQQAAA4AAAAAAAAAAQAgAAAAJQEAAGRycy9lMm9Eb2MueG1sUEsFBgAAAAAGAAYAWQEAALIFAAAA&#10;AA==&#10;">
              <v:fill on="f" focussize="0,0"/>
              <v:stroke on="f" weight="0.5pt"/>
              <v:imagedata o:title=""/>
              <o:lock v:ext="edit" aspectratio="f"/>
              <v:textbox inset="0mm,0mm,0mm,0mm">
                <w:txbxContent>
                  <w:p>
                    <w:pPr>
                      <w:pStyle w:val="3"/>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3</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posOffset>-10160</wp:posOffset>
              </wp:positionH>
              <wp:positionV relativeFrom="paragraph">
                <wp:posOffset>19050</wp:posOffset>
              </wp:positionV>
              <wp:extent cx="768350" cy="27813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768350"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8pt;margin-top:1.5pt;height:21.9pt;width:60.5pt;mso-position-horizontal-relative:margin;z-index:251663360;mso-width-relative:page;mso-height-relative:page;" filled="f" stroked="f" coordsize="21600,21600" o:gfxdata="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EQRA9YAAAAHAQAADwAA&#10;AAAAAAABACAAAAAiAAAAZHJzL2Rvd25yZXYueG1sUEsBAhQAFAAAAAgAh07iQKsrMfAYAgAAFQQA&#10;AA4AAAAAAAAAAQAgAAAAJQEAAGRycy9lMm9Eb2MueG1sUEsFBgAAAAAGAAYAWQEAAK8FAAAAAA==&#10;">
              <v:fill on="f" focussize="0,0"/>
              <v:stroke on="f" weight="0.5pt"/>
              <v:imagedata o:title=""/>
              <o:lock v:ext="edit" aspectratio="f"/>
              <v:textbox inset="0mm,0mm,0mm,0mm">
                <w:txbxContent>
                  <w:p>
                    <w:pPr>
                      <w:pStyle w:val="3"/>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6432" behindDoc="0" locked="0" layoutInCell="1" allowOverlap="1">
              <wp:simplePos x="0" y="0"/>
              <wp:positionH relativeFrom="margin">
                <wp:posOffset>-790575</wp:posOffset>
              </wp:positionH>
              <wp:positionV relativeFrom="paragraph">
                <wp:posOffset>-222885</wp:posOffset>
              </wp:positionV>
              <wp:extent cx="805815" cy="279400"/>
              <wp:effectExtent l="263525" t="0" r="0" b="0"/>
              <wp:wrapNone/>
              <wp:docPr id="13" name="文本框 13"/>
              <wp:cNvGraphicFramePr/>
              <a:graphic xmlns:a="http://schemas.openxmlformats.org/drawingml/2006/main">
                <a:graphicData uri="http://schemas.microsoft.com/office/word/2010/wordprocessingShape">
                  <wps:wsp>
                    <wps:cNvSpPr txBox="1"/>
                    <wps:spPr>
                      <a:xfrm rot="5400000">
                        <a:off x="0" y="0"/>
                        <a:ext cx="805815"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62.25pt;margin-top:-17.55pt;height:22pt;width:63.45pt;mso-position-horizontal-relative:margin;rotation:5898240f;z-index:251666432;mso-width-relative:page;mso-height-relative:page;" filled="f" stroked="f" coordsize="21600,21600" o:gfxdata="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7p&#10;tlbYAAAACAEAAA8AAAAAAAAAAQAgAAAAIgAAAGRycy9kb3ducmV2LnhtbFBLAQIUABQAAAAIAIdO&#10;4kBCd4BBIwIAACMEAAAOAAAAAAAAAAEAIAAAACcBAABkcnMvZTJvRG9jLnhtbFBLBQYAAAAABgAG&#10;AFkBAAC8BQAAAAA=&#10;">
              <v:fill on="f" focussize="0,0"/>
              <v:stroke on="f" weight="0.5pt"/>
              <v:imagedata o:title=""/>
              <o:lock v:ext="edit" aspectratio="f"/>
              <v:textbox inset="0mm,0mm,0mm,0mm">
                <w:txbxContent>
                  <w:p>
                    <w:pPr>
                      <w:pStyle w:val="3"/>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0528" behindDoc="0" locked="0" layoutInCell="1" allowOverlap="1">
              <wp:simplePos x="0" y="0"/>
              <wp:positionH relativeFrom="margin">
                <wp:posOffset>4886325</wp:posOffset>
              </wp:positionH>
              <wp:positionV relativeFrom="paragraph">
                <wp:posOffset>0</wp:posOffset>
              </wp:positionV>
              <wp:extent cx="729615" cy="2978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729615"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3</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4.75pt;margin-top:0pt;height:23.45pt;width:57.45pt;mso-position-horizontal-relative:margin;z-index:251670528;mso-width-relative:page;mso-height-relative:page;" filled="f" stroked="f" coordsize="21600,21600" o:gfxdata="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nKrxNYAAAAHAQAA&#10;DwAAAAAAAAABACAAAAAiAAAAZHJzL2Rvd25yZXYueG1sUEsBAhQAFAAAAAgAh07iQAxXsHobAgAA&#10;FQQAAA4AAAAAAAAAAQAgAAAAJQEAAGRycy9lMm9Eb2MueG1sUEsFBgAAAAAGAAYAWQEAALIFAAAA&#10;AA==&#10;">
              <v:fill on="f" focussize="0,0"/>
              <v:stroke on="f" weight="0.5pt"/>
              <v:imagedata o:title=""/>
              <o:lock v:ext="edit" aspectratio="f"/>
              <v:textbox inset="0mm,0mm,0mm,0mm">
                <w:txbxContent>
                  <w:p>
                    <w:pPr>
                      <w:pStyle w:val="3"/>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3</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6672" behindDoc="0" locked="0" layoutInCell="1" allowOverlap="1">
              <wp:simplePos x="0" y="0"/>
              <wp:positionH relativeFrom="margin">
                <wp:posOffset>-10160</wp:posOffset>
              </wp:positionH>
              <wp:positionV relativeFrom="paragraph">
                <wp:posOffset>19050</wp:posOffset>
              </wp:positionV>
              <wp:extent cx="768350" cy="27813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768350"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8pt;margin-top:1.5pt;height:21.9pt;width:60.5pt;mso-position-horizontal-relative:margin;z-index:251676672;mso-width-relative:page;mso-height-relative:page;" filled="f" stroked="f" coordsize="21600,21600" o:gfxdata="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EQRA9YAAAAHAQAADwAA&#10;AAAAAAABACAAAAAiAAAAZHJzL2Rvd25yZXYueG1sUEsBAhQAFAAAAAgAh07iQKZ4RBMYAgAAFQQA&#10;AA4AAAAAAAAAAQAgAAAAJQEAAGRycy9lMm9Eb2MueG1sUEsFBgAAAAAGAAYAWQEAAK8FAAAAAA==&#10;">
              <v:fill on="f" focussize="0,0"/>
              <v:stroke on="f" weight="0.5pt"/>
              <v:imagedata o:title=""/>
              <o:lock v:ext="edit" aspectratio="f"/>
              <v:textbox inset="0mm,0mm,0mm,0mm">
                <w:txbxContent>
                  <w:p>
                    <w:pPr>
                      <w:pStyle w:val="3"/>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5888" behindDoc="0" locked="0" layoutInCell="1" allowOverlap="1">
              <wp:simplePos x="0" y="0"/>
              <wp:positionH relativeFrom="margin">
                <wp:posOffset>-152400</wp:posOffset>
              </wp:positionH>
              <wp:positionV relativeFrom="paragraph">
                <wp:posOffset>34290</wp:posOffset>
              </wp:positionV>
              <wp:extent cx="805815" cy="2794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805815"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2pt;margin-top:2.7pt;height:22pt;width:63.45pt;mso-position-horizontal-relative:margin;z-index:251685888;mso-width-relative:page;mso-height-relative:page;" filled="f" stroked="f" coordsize="21600,21600" o:gfxdata="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hFbkf1wAAAAgB&#10;AAAPAAAAAAAAAAEAIAAAACIAAABkcnMvZG93bnJldi54bWxQSwECFAAUAAAACACHTuJAIk6bWBwC&#10;AAAVBAAADgAAAAAAAAABACAAAAAmAQAAZHJzL2Uyb0RvYy54bWxQSwUGAAAAAAYABgBZAQAAtAUA&#10;AAAA&#10;">
              <v:fill on="f" focussize="0,0"/>
              <v:stroke on="f" weight="0.5pt"/>
              <v:imagedata o:title=""/>
              <o:lock v:ext="edit" aspectratio="f"/>
              <v:textbox inset="0mm,0mm,0mm,0mm">
                <w:txbxContent>
                  <w:p>
                    <w:pPr>
                      <w:pStyle w:val="3"/>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02066"/>
    <w:multiLevelType w:val="singleLevel"/>
    <w:tmpl w:val="5E20206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5A8"/>
    <w:rsid w:val="003939FE"/>
    <w:rsid w:val="005542BB"/>
    <w:rsid w:val="005D0D92"/>
    <w:rsid w:val="005E19DB"/>
    <w:rsid w:val="006212DF"/>
    <w:rsid w:val="007B065E"/>
    <w:rsid w:val="007F7BDA"/>
    <w:rsid w:val="00857ECE"/>
    <w:rsid w:val="00900B34"/>
    <w:rsid w:val="009B150D"/>
    <w:rsid w:val="00A5151A"/>
    <w:rsid w:val="00AF5C2B"/>
    <w:rsid w:val="00CE6E8E"/>
    <w:rsid w:val="00DC35A8"/>
    <w:rsid w:val="03C5799D"/>
    <w:rsid w:val="080A3331"/>
    <w:rsid w:val="09726BA9"/>
    <w:rsid w:val="28C0171B"/>
    <w:rsid w:val="3AE10C99"/>
    <w:rsid w:val="3DAE35AA"/>
    <w:rsid w:val="5E3C1B53"/>
    <w:rsid w:val="6207508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3">
    <w:name w:val="footer"/>
    <w:basedOn w:val="1"/>
    <w:unhideWhenUsed/>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font31"/>
    <w:basedOn w:val="5"/>
    <w:qFormat/>
    <w:uiPriority w:val="0"/>
    <w:rPr>
      <w:rFonts w:hint="eastAsia" w:ascii="宋体" w:hAnsi="宋体" w:eastAsia="宋体" w:cs="宋体"/>
      <w:color w:val="000000"/>
      <w:sz w:val="18"/>
      <w:szCs w:val="18"/>
      <w:u w:val="none"/>
    </w:rPr>
  </w:style>
  <w:style w:type="character" w:customStyle="1" w:styleId="9">
    <w:name w:val="font01"/>
    <w:basedOn w:val="5"/>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Words>
  <Characters>21</Characters>
  <Lines>1</Lines>
  <Paragraphs>1</Paragraphs>
  <TotalTime>0</TotalTime>
  <ScaleCrop>false</ScaleCrop>
  <LinksUpToDate>false</LinksUpToDate>
  <CharactersWithSpaces>23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2017-03-03T02:51:00Z</dcterms:created>
  <dc:creator>未定义</dc:creator>
  <cp:lastModifiedBy>Administrator</cp:lastModifiedBy>
  <cp:lastPrinted>2020-01-22T08:54:00Z</cp:lastPrinted>
  <dcterms:modified xsi:type="dcterms:W3CDTF">2020-02-19T07:00:09Z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